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7" w:line="224" w:lineRule="auto"/>
        <w:ind w:left="84"/>
        <w:rPr>
          <w:rFonts w:ascii="黑体" w:hAnsi="黑体" w:eastAsia="黑体" w:cs="黑体"/>
          <w:sz w:val="23"/>
          <w:szCs w:val="23"/>
        </w:rPr>
      </w:pPr>
      <w:r>
        <w:rPr>
          <w:rFonts w:ascii="黑体" w:hAnsi="黑体" w:eastAsia="黑体" w:cs="黑体"/>
          <w:spacing w:val="-6"/>
          <w:sz w:val="23"/>
          <w:szCs w:val="23"/>
        </w:rPr>
        <w:t>附件4</w:t>
      </w:r>
    </w:p>
    <w:p>
      <w:pPr>
        <w:spacing w:before="75" w:line="219" w:lineRule="auto"/>
        <w:ind w:left="3344"/>
        <w:rPr>
          <w:rFonts w:ascii="宋体" w:hAnsi="宋体" w:eastAsia="宋体" w:cs="宋体"/>
          <w:sz w:val="26"/>
          <w:szCs w:val="26"/>
        </w:rPr>
      </w:pPr>
      <w:r>
        <w:rPr>
          <w:rFonts w:hint="eastAsia" w:ascii="宋体" w:hAnsi="宋体" w:eastAsia="宋体" w:cs="宋体"/>
          <w:b/>
          <w:bCs/>
          <w:spacing w:val="-18"/>
          <w:sz w:val="26"/>
          <w:szCs w:val="26"/>
          <w:lang w:val="en-US" w:eastAsia="zh-CN"/>
        </w:rPr>
        <w:t>乌海市医疗保障局</w:t>
      </w:r>
      <w:r>
        <w:rPr>
          <w:rFonts w:ascii="宋体" w:hAnsi="宋体" w:eastAsia="宋体" w:cs="宋体"/>
          <w:b/>
          <w:bCs/>
          <w:spacing w:val="-18"/>
          <w:sz w:val="26"/>
          <w:szCs w:val="26"/>
        </w:rPr>
        <w:t>转移支付整体绩效自评表</w:t>
      </w:r>
    </w:p>
    <w:p>
      <w:pPr>
        <w:spacing w:before="90" w:line="195" w:lineRule="auto"/>
        <w:ind w:left="4435"/>
        <w:rPr>
          <w:rFonts w:ascii="宋体" w:hAnsi="宋体" w:eastAsia="宋体" w:cs="宋体"/>
          <w:sz w:val="16"/>
          <w:szCs w:val="16"/>
        </w:rPr>
      </w:pPr>
      <w:r>
        <w:rPr>
          <w:rFonts w:ascii="宋体" w:hAnsi="宋体" w:eastAsia="宋体" w:cs="宋体"/>
          <w:spacing w:val="4"/>
          <w:sz w:val="16"/>
          <w:szCs w:val="16"/>
        </w:rPr>
        <w:t>(2023年度)</w:t>
      </w:r>
    </w:p>
    <w:tbl>
      <w:tblPr>
        <w:tblStyle w:val="6"/>
        <w:tblW w:w="96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400"/>
        <w:gridCol w:w="819"/>
        <w:gridCol w:w="1818"/>
        <w:gridCol w:w="939"/>
        <w:gridCol w:w="1173"/>
        <w:gridCol w:w="1712"/>
        <w:gridCol w:w="650"/>
        <w:gridCol w:w="738"/>
        <w:gridCol w:w="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624" w:type="dxa"/>
            <w:gridSpan w:val="3"/>
            <w:vAlign w:val="top"/>
          </w:tcPr>
          <w:p>
            <w:pPr>
              <w:pStyle w:val="5"/>
              <w:spacing w:before="51" w:line="219" w:lineRule="auto"/>
              <w:ind w:left="294"/>
              <w:rPr>
                <w:sz w:val="17"/>
                <w:szCs w:val="17"/>
              </w:rPr>
            </w:pPr>
            <w:r>
              <w:rPr>
                <w:spacing w:val="-2"/>
                <w:sz w:val="17"/>
                <w:szCs w:val="17"/>
              </w:rPr>
              <w:t>转移支付名称</w:t>
            </w:r>
          </w:p>
        </w:tc>
        <w:tc>
          <w:tcPr>
            <w:tcW w:w="7985" w:type="dxa"/>
            <w:gridSpan w:val="7"/>
            <w:vAlign w:val="center"/>
          </w:tcPr>
          <w:p>
            <w:pPr>
              <w:jc w:val="center"/>
              <w:rPr>
                <w:rFonts w:ascii="Arial"/>
                <w:sz w:val="21"/>
              </w:rPr>
            </w:pPr>
            <w:r>
              <w:rPr>
                <w:spacing w:val="1"/>
              </w:rPr>
              <w:t>医疗救助补助资金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624" w:type="dxa"/>
            <w:gridSpan w:val="3"/>
            <w:vAlign w:val="top"/>
          </w:tcPr>
          <w:p>
            <w:pPr>
              <w:pStyle w:val="5"/>
              <w:spacing w:before="38" w:line="219" w:lineRule="auto"/>
              <w:ind w:left="294"/>
              <w:rPr>
                <w:sz w:val="17"/>
                <w:szCs w:val="17"/>
              </w:rPr>
            </w:pPr>
            <w:r>
              <w:rPr>
                <w:spacing w:val="3"/>
                <w:sz w:val="17"/>
                <w:szCs w:val="17"/>
              </w:rPr>
              <w:t>中央主管部门</w:t>
            </w:r>
          </w:p>
        </w:tc>
        <w:tc>
          <w:tcPr>
            <w:tcW w:w="7985" w:type="dxa"/>
            <w:gridSpan w:val="7"/>
            <w:vAlign w:val="center"/>
          </w:tcPr>
          <w:p>
            <w:pPr>
              <w:spacing w:line="240" w:lineRule="exact"/>
              <w:jc w:val="center"/>
              <w:rPr>
                <w:rFonts w:ascii="Arial"/>
                <w:sz w:val="20"/>
              </w:rPr>
            </w:pPr>
            <w:r>
              <w:rPr>
                <w:rFonts w:hint="eastAsia" w:ascii="宋体" w:hAnsi="宋体" w:eastAsia="宋体" w:cs="宋体"/>
                <w:spacing w:val="3"/>
              </w:rPr>
              <w:t>国家医保局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624" w:type="dxa"/>
            <w:gridSpan w:val="3"/>
            <w:vMerge w:val="restart"/>
            <w:tcBorders>
              <w:bottom w:val="nil"/>
            </w:tcBorders>
            <w:vAlign w:val="center"/>
          </w:tcPr>
          <w:p>
            <w:pPr>
              <w:pStyle w:val="5"/>
              <w:spacing w:before="55" w:line="220" w:lineRule="auto"/>
              <w:ind w:firstLine="344" w:firstLineChars="200"/>
              <w:jc w:val="both"/>
              <w:rPr>
                <w:sz w:val="17"/>
                <w:szCs w:val="17"/>
              </w:rPr>
            </w:pPr>
            <w:r>
              <w:rPr>
                <w:spacing w:val="1"/>
                <w:sz w:val="17"/>
                <w:szCs w:val="17"/>
              </w:rPr>
              <w:t>资金投入情况</w:t>
            </w:r>
          </w:p>
          <w:p>
            <w:pPr>
              <w:pStyle w:val="5"/>
              <w:spacing w:before="7" w:line="220" w:lineRule="auto"/>
              <w:ind w:left="545"/>
              <w:jc w:val="both"/>
              <w:rPr>
                <w:sz w:val="17"/>
                <w:szCs w:val="17"/>
              </w:rPr>
            </w:pPr>
            <w:r>
              <w:rPr>
                <w:spacing w:val="9"/>
                <w:sz w:val="17"/>
                <w:szCs w:val="17"/>
              </w:rPr>
              <w:t>(万元)</w:t>
            </w:r>
          </w:p>
        </w:tc>
        <w:tc>
          <w:tcPr>
            <w:tcW w:w="1818" w:type="dxa"/>
            <w:vAlign w:val="center"/>
          </w:tcPr>
          <w:p>
            <w:pPr>
              <w:jc w:val="center"/>
              <w:rPr>
                <w:rFonts w:ascii="Arial"/>
                <w:sz w:val="21"/>
              </w:rPr>
            </w:pPr>
          </w:p>
        </w:tc>
        <w:tc>
          <w:tcPr>
            <w:tcW w:w="939" w:type="dxa"/>
            <w:vAlign w:val="center"/>
          </w:tcPr>
          <w:p>
            <w:pPr>
              <w:pStyle w:val="5"/>
              <w:spacing w:before="147" w:line="219" w:lineRule="auto"/>
              <w:ind w:right="11"/>
              <w:jc w:val="center"/>
              <w:rPr>
                <w:sz w:val="17"/>
                <w:szCs w:val="17"/>
              </w:rPr>
            </w:pPr>
            <w:r>
              <w:rPr>
                <w:spacing w:val="-2"/>
                <w:sz w:val="17"/>
                <w:szCs w:val="17"/>
              </w:rPr>
              <w:t>年初预算数</w:t>
            </w:r>
          </w:p>
        </w:tc>
        <w:tc>
          <w:tcPr>
            <w:tcW w:w="1173" w:type="dxa"/>
            <w:vAlign w:val="center"/>
          </w:tcPr>
          <w:p>
            <w:pPr>
              <w:pStyle w:val="5"/>
              <w:spacing w:before="68" w:line="198" w:lineRule="auto"/>
              <w:ind w:left="44"/>
              <w:jc w:val="center"/>
              <w:rPr>
                <w:sz w:val="17"/>
                <w:szCs w:val="17"/>
              </w:rPr>
            </w:pPr>
            <w:r>
              <w:rPr>
                <w:spacing w:val="-2"/>
                <w:sz w:val="17"/>
                <w:szCs w:val="17"/>
              </w:rPr>
              <w:t>全年预算数</w:t>
            </w:r>
          </w:p>
          <w:p>
            <w:pPr>
              <w:pStyle w:val="5"/>
              <w:spacing w:line="215" w:lineRule="auto"/>
              <w:ind w:left="334"/>
              <w:jc w:val="center"/>
              <w:rPr>
                <w:sz w:val="17"/>
                <w:szCs w:val="17"/>
              </w:rPr>
            </w:pPr>
            <w:r>
              <w:rPr>
                <w:spacing w:val="-9"/>
                <w:sz w:val="17"/>
                <w:szCs w:val="17"/>
              </w:rPr>
              <w:t>(A)</w:t>
            </w:r>
          </w:p>
        </w:tc>
        <w:tc>
          <w:tcPr>
            <w:tcW w:w="1712" w:type="dxa"/>
            <w:vAlign w:val="center"/>
          </w:tcPr>
          <w:p>
            <w:pPr>
              <w:pStyle w:val="5"/>
              <w:spacing w:before="57" w:line="219" w:lineRule="auto"/>
              <w:jc w:val="center"/>
              <w:rPr>
                <w:sz w:val="17"/>
                <w:szCs w:val="17"/>
              </w:rPr>
            </w:pPr>
            <w:r>
              <w:rPr>
                <w:spacing w:val="-2"/>
                <w:sz w:val="17"/>
                <w:szCs w:val="17"/>
              </w:rPr>
              <w:t>全年执行数</w:t>
            </w:r>
          </w:p>
          <w:p>
            <w:pPr>
              <w:pStyle w:val="5"/>
              <w:spacing w:line="205" w:lineRule="auto"/>
              <w:ind w:left="364"/>
              <w:jc w:val="center"/>
              <w:rPr>
                <w:sz w:val="17"/>
                <w:szCs w:val="17"/>
              </w:rPr>
            </w:pPr>
            <w:r>
              <w:rPr>
                <w:spacing w:val="-9"/>
                <w:sz w:val="17"/>
                <w:szCs w:val="17"/>
              </w:rPr>
              <w:t>(B)</w:t>
            </w:r>
          </w:p>
        </w:tc>
        <w:tc>
          <w:tcPr>
            <w:tcW w:w="650" w:type="dxa"/>
            <w:vAlign w:val="center"/>
          </w:tcPr>
          <w:p>
            <w:pPr>
              <w:pStyle w:val="5"/>
              <w:spacing w:before="147" w:line="219" w:lineRule="auto"/>
              <w:ind w:left="115"/>
              <w:jc w:val="center"/>
              <w:rPr>
                <w:sz w:val="17"/>
                <w:szCs w:val="17"/>
              </w:rPr>
            </w:pPr>
            <w:r>
              <w:rPr>
                <w:spacing w:val="-3"/>
                <w:sz w:val="17"/>
                <w:szCs w:val="17"/>
              </w:rPr>
              <w:t>分值</w:t>
            </w:r>
          </w:p>
        </w:tc>
        <w:tc>
          <w:tcPr>
            <w:tcW w:w="738" w:type="dxa"/>
            <w:vAlign w:val="center"/>
          </w:tcPr>
          <w:p>
            <w:pPr>
              <w:pStyle w:val="5"/>
              <w:spacing w:before="37" w:line="219" w:lineRule="auto"/>
              <w:ind w:left="326"/>
              <w:jc w:val="center"/>
              <w:rPr>
                <w:sz w:val="17"/>
                <w:szCs w:val="17"/>
              </w:rPr>
            </w:pPr>
            <w:r>
              <w:rPr>
                <w:spacing w:val="-2"/>
                <w:sz w:val="17"/>
                <w:szCs w:val="17"/>
              </w:rPr>
              <w:t>执行率</w:t>
            </w:r>
          </w:p>
          <w:p>
            <w:pPr>
              <w:pStyle w:val="5"/>
              <w:spacing w:before="10" w:line="216" w:lineRule="auto"/>
              <w:ind w:left="176"/>
              <w:jc w:val="center"/>
              <w:rPr>
                <w:sz w:val="17"/>
                <w:szCs w:val="17"/>
              </w:rPr>
            </w:pPr>
            <w:r>
              <w:rPr>
                <w:spacing w:val="-4"/>
                <w:sz w:val="17"/>
                <w:szCs w:val="17"/>
              </w:rPr>
              <w:t>(B/A×100%)</w:t>
            </w:r>
          </w:p>
        </w:tc>
        <w:tc>
          <w:tcPr>
            <w:tcW w:w="955" w:type="dxa"/>
            <w:vAlign w:val="center"/>
          </w:tcPr>
          <w:p>
            <w:pPr>
              <w:pStyle w:val="5"/>
              <w:spacing w:before="147" w:line="219" w:lineRule="auto"/>
              <w:ind w:firstLine="498" w:firstLineChars="300"/>
              <w:jc w:val="both"/>
              <w:rPr>
                <w:sz w:val="17"/>
                <w:szCs w:val="17"/>
              </w:rPr>
            </w:pPr>
            <w:r>
              <w:rPr>
                <w:spacing w:val="-2"/>
                <w:sz w:val="17"/>
                <w:szCs w:val="17"/>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8" w:line="186" w:lineRule="auto"/>
              <w:ind w:left="20"/>
              <w:jc w:val="center"/>
              <w:rPr>
                <w:sz w:val="17"/>
                <w:szCs w:val="17"/>
              </w:rPr>
            </w:pPr>
            <w:r>
              <w:rPr>
                <w:spacing w:val="-1"/>
                <w:sz w:val="17"/>
                <w:szCs w:val="17"/>
              </w:rPr>
              <w:t>年度资金总额：</w:t>
            </w:r>
          </w:p>
        </w:tc>
        <w:tc>
          <w:tcPr>
            <w:tcW w:w="939" w:type="dxa"/>
            <w:vAlign w:val="center"/>
          </w:tcPr>
          <w:p>
            <w:pPr>
              <w:spacing w:line="190" w:lineRule="exact"/>
              <w:jc w:val="center"/>
              <w:rPr>
                <w:rFonts w:hint="default" w:ascii="Arial"/>
                <w:sz w:val="16"/>
                <w:lang w:val="en-US"/>
              </w:rPr>
            </w:pPr>
            <w:r>
              <w:rPr>
                <w:rFonts w:hint="default"/>
                <w:sz w:val="16"/>
                <w:lang w:val="en-US"/>
              </w:rPr>
              <w:t>122</w:t>
            </w:r>
          </w:p>
        </w:tc>
        <w:tc>
          <w:tcPr>
            <w:tcW w:w="1173"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122</w:t>
            </w:r>
          </w:p>
        </w:tc>
        <w:tc>
          <w:tcPr>
            <w:tcW w:w="1712"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122</w:t>
            </w:r>
          </w:p>
        </w:tc>
        <w:tc>
          <w:tcPr>
            <w:tcW w:w="650" w:type="dxa"/>
            <w:vAlign w:val="center"/>
          </w:tcPr>
          <w:p>
            <w:pPr>
              <w:pStyle w:val="5"/>
              <w:spacing w:before="62" w:line="128" w:lineRule="exact"/>
              <w:ind w:left="206"/>
              <w:jc w:val="both"/>
              <w:rPr>
                <w:sz w:val="17"/>
                <w:szCs w:val="17"/>
              </w:rPr>
            </w:pPr>
            <w:r>
              <w:rPr>
                <w:spacing w:val="-5"/>
                <w:position w:val="-2"/>
                <w:sz w:val="17"/>
                <w:szCs w:val="17"/>
              </w:rPr>
              <w:t>10</w:t>
            </w:r>
          </w:p>
        </w:tc>
        <w:tc>
          <w:tcPr>
            <w:tcW w:w="738" w:type="dxa"/>
            <w:vAlign w:val="center"/>
          </w:tcPr>
          <w:p>
            <w:pPr>
              <w:spacing w:line="190" w:lineRule="exact"/>
              <w:jc w:val="center"/>
              <w:rPr>
                <w:rFonts w:hint="default" w:ascii="Arial"/>
                <w:sz w:val="16"/>
                <w:lang w:val="en-US"/>
              </w:rPr>
            </w:pPr>
            <w:r>
              <w:rPr>
                <w:rFonts w:hint="default"/>
                <w:sz w:val="16"/>
                <w:lang w:val="en-US"/>
              </w:rPr>
              <w:t>100%</w:t>
            </w:r>
          </w:p>
        </w:tc>
        <w:tc>
          <w:tcPr>
            <w:tcW w:w="955" w:type="dxa"/>
            <w:vAlign w:val="center"/>
          </w:tcPr>
          <w:p>
            <w:pPr>
              <w:spacing w:line="190" w:lineRule="exact"/>
              <w:jc w:val="center"/>
              <w:rPr>
                <w:rFonts w:hint="default" w:ascii="Arial"/>
                <w:sz w:val="16"/>
                <w:lang w:val="en-US"/>
              </w:rPr>
            </w:pPr>
            <w:r>
              <w:rPr>
                <w:rFonts w:hint="default"/>
                <w:sz w:val="16"/>
                <w:lang w:val="en-US"/>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85" w:lineRule="auto"/>
              <w:ind w:left="20"/>
              <w:jc w:val="center"/>
              <w:rPr>
                <w:sz w:val="17"/>
                <w:szCs w:val="17"/>
              </w:rPr>
            </w:pPr>
            <w:r>
              <w:rPr>
                <w:spacing w:val="-1"/>
                <w:sz w:val="17"/>
                <w:szCs w:val="17"/>
              </w:rPr>
              <w:t>其中：中央财政资金</w:t>
            </w:r>
          </w:p>
        </w:tc>
        <w:tc>
          <w:tcPr>
            <w:tcW w:w="939" w:type="dxa"/>
            <w:vAlign w:val="center"/>
          </w:tcPr>
          <w:p>
            <w:pPr>
              <w:spacing w:line="190" w:lineRule="exact"/>
              <w:jc w:val="center"/>
              <w:rPr>
                <w:rFonts w:hint="default" w:ascii="Arial"/>
                <w:sz w:val="16"/>
                <w:lang w:val="en-US"/>
              </w:rPr>
            </w:pPr>
            <w:r>
              <w:rPr>
                <w:rFonts w:hint="default"/>
                <w:sz w:val="16"/>
                <w:lang w:val="en-US"/>
              </w:rPr>
              <w:t>94</w:t>
            </w:r>
          </w:p>
        </w:tc>
        <w:tc>
          <w:tcPr>
            <w:tcW w:w="1173"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94</w:t>
            </w:r>
          </w:p>
        </w:tc>
        <w:tc>
          <w:tcPr>
            <w:tcW w:w="1712"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94</w:t>
            </w:r>
          </w:p>
        </w:tc>
        <w:tc>
          <w:tcPr>
            <w:tcW w:w="650" w:type="dxa"/>
            <w:vAlign w:val="center"/>
          </w:tcPr>
          <w:p>
            <w:pPr>
              <w:spacing w:line="190" w:lineRule="exact"/>
              <w:jc w:val="center"/>
              <w:rPr>
                <w:rFonts w:ascii="Arial"/>
                <w:sz w:val="16"/>
              </w:rPr>
            </w:pPr>
          </w:p>
        </w:tc>
        <w:tc>
          <w:tcPr>
            <w:tcW w:w="738" w:type="dxa"/>
            <w:vAlign w:val="center"/>
          </w:tcPr>
          <w:p>
            <w:pPr>
              <w:spacing w:line="190" w:lineRule="exact"/>
              <w:jc w:val="center"/>
              <w:rPr>
                <w:rFonts w:ascii="Arial"/>
                <w:sz w:val="16"/>
              </w:rPr>
            </w:pPr>
            <w:r>
              <w:rPr>
                <w:rFonts w:hint="default"/>
                <w:sz w:val="16"/>
                <w:lang w:val="en-US"/>
              </w:rPr>
              <w:t>00%</w:t>
            </w:r>
          </w:p>
        </w:tc>
        <w:tc>
          <w:tcPr>
            <w:tcW w:w="955" w:type="dxa"/>
            <w:vAlign w:val="center"/>
          </w:tcPr>
          <w:p>
            <w:pPr>
              <w:spacing w:line="190" w:lineRule="exact"/>
              <w:jc w:val="center"/>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20" w:line="195" w:lineRule="auto"/>
              <w:ind w:left="500"/>
              <w:jc w:val="center"/>
              <w:rPr>
                <w:sz w:val="17"/>
                <w:szCs w:val="17"/>
              </w:rPr>
            </w:pPr>
            <w:r>
              <w:rPr>
                <w:spacing w:val="-1"/>
                <w:sz w:val="17"/>
                <w:szCs w:val="17"/>
              </w:rPr>
              <w:t>地方财政资金</w:t>
            </w:r>
          </w:p>
        </w:tc>
        <w:tc>
          <w:tcPr>
            <w:tcW w:w="939" w:type="dxa"/>
            <w:vAlign w:val="center"/>
          </w:tcPr>
          <w:p>
            <w:pPr>
              <w:spacing w:line="200" w:lineRule="exact"/>
              <w:jc w:val="center"/>
              <w:rPr>
                <w:rFonts w:hint="default" w:ascii="Arial"/>
                <w:sz w:val="17"/>
                <w:lang w:val="en-US"/>
              </w:rPr>
            </w:pPr>
            <w:r>
              <w:rPr>
                <w:rFonts w:hint="default"/>
                <w:sz w:val="17"/>
                <w:lang w:val="en-US"/>
              </w:rPr>
              <w:t>28</w:t>
            </w:r>
          </w:p>
        </w:tc>
        <w:tc>
          <w:tcPr>
            <w:tcW w:w="1173"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28</w:t>
            </w:r>
          </w:p>
        </w:tc>
        <w:tc>
          <w:tcPr>
            <w:tcW w:w="1712"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28</w:t>
            </w:r>
          </w:p>
        </w:tc>
        <w:tc>
          <w:tcPr>
            <w:tcW w:w="650" w:type="dxa"/>
            <w:vAlign w:val="center"/>
          </w:tcPr>
          <w:p>
            <w:pPr>
              <w:spacing w:line="200" w:lineRule="exact"/>
              <w:jc w:val="center"/>
              <w:rPr>
                <w:rFonts w:ascii="Arial"/>
                <w:sz w:val="17"/>
              </w:rPr>
            </w:pPr>
          </w:p>
        </w:tc>
        <w:tc>
          <w:tcPr>
            <w:tcW w:w="738" w:type="dxa"/>
            <w:vAlign w:val="center"/>
          </w:tcPr>
          <w:p>
            <w:pPr>
              <w:spacing w:line="200" w:lineRule="exact"/>
              <w:jc w:val="center"/>
              <w:rPr>
                <w:rFonts w:ascii="Arial"/>
                <w:sz w:val="17"/>
              </w:rPr>
            </w:pPr>
            <w:r>
              <w:rPr>
                <w:rFonts w:hint="default"/>
                <w:sz w:val="16"/>
                <w:lang w:val="en-US"/>
              </w:rPr>
              <w:t>00%</w:t>
            </w:r>
          </w:p>
        </w:tc>
        <w:tc>
          <w:tcPr>
            <w:tcW w:w="955" w:type="dxa"/>
            <w:vAlign w:val="center"/>
          </w:tcPr>
          <w:p>
            <w:pPr>
              <w:spacing w:line="200" w:lineRule="exact"/>
              <w:jc w:val="center"/>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624" w:type="dxa"/>
            <w:gridSpan w:val="3"/>
            <w:vMerge w:val="continue"/>
            <w:tcBorders>
              <w:top w:val="nil"/>
            </w:tcBorders>
            <w:vAlign w:val="top"/>
          </w:tcPr>
          <w:p>
            <w:pPr>
              <w:rPr>
                <w:rFonts w:ascii="Arial"/>
                <w:sz w:val="21"/>
              </w:rPr>
            </w:pPr>
          </w:p>
        </w:tc>
        <w:tc>
          <w:tcPr>
            <w:tcW w:w="1818" w:type="dxa"/>
            <w:vAlign w:val="center"/>
          </w:tcPr>
          <w:p>
            <w:pPr>
              <w:pStyle w:val="5"/>
              <w:spacing w:before="19" w:line="185" w:lineRule="auto"/>
              <w:ind w:left="510"/>
              <w:jc w:val="center"/>
              <w:rPr>
                <w:sz w:val="17"/>
                <w:szCs w:val="17"/>
              </w:rPr>
            </w:pPr>
            <w:r>
              <w:rPr>
                <w:spacing w:val="-2"/>
                <w:sz w:val="17"/>
                <w:szCs w:val="17"/>
              </w:rPr>
              <w:t>其他资金</w:t>
            </w:r>
          </w:p>
        </w:tc>
        <w:tc>
          <w:tcPr>
            <w:tcW w:w="939" w:type="dxa"/>
            <w:vAlign w:val="center"/>
          </w:tcPr>
          <w:p>
            <w:pPr>
              <w:spacing w:line="190" w:lineRule="exact"/>
              <w:jc w:val="center"/>
              <w:rPr>
                <w:rFonts w:ascii="Arial"/>
                <w:sz w:val="16"/>
              </w:rPr>
            </w:pPr>
          </w:p>
        </w:tc>
        <w:tc>
          <w:tcPr>
            <w:tcW w:w="1173" w:type="dxa"/>
            <w:vAlign w:val="center"/>
          </w:tcPr>
          <w:p>
            <w:pPr>
              <w:spacing w:line="190" w:lineRule="exact"/>
              <w:jc w:val="center"/>
              <w:rPr>
                <w:rFonts w:ascii="Arial"/>
                <w:sz w:val="16"/>
              </w:rPr>
            </w:pPr>
          </w:p>
        </w:tc>
        <w:tc>
          <w:tcPr>
            <w:tcW w:w="1712" w:type="dxa"/>
            <w:vAlign w:val="center"/>
          </w:tcPr>
          <w:p>
            <w:pPr>
              <w:spacing w:line="190" w:lineRule="exact"/>
              <w:jc w:val="center"/>
              <w:rPr>
                <w:rFonts w:ascii="Arial"/>
                <w:sz w:val="16"/>
              </w:rPr>
            </w:pPr>
          </w:p>
        </w:tc>
        <w:tc>
          <w:tcPr>
            <w:tcW w:w="650" w:type="dxa"/>
            <w:vAlign w:val="center"/>
          </w:tcPr>
          <w:p>
            <w:pPr>
              <w:spacing w:line="190" w:lineRule="exact"/>
              <w:jc w:val="center"/>
              <w:rPr>
                <w:rFonts w:ascii="Arial"/>
                <w:sz w:val="16"/>
              </w:rPr>
            </w:pPr>
          </w:p>
        </w:tc>
        <w:tc>
          <w:tcPr>
            <w:tcW w:w="738" w:type="dxa"/>
            <w:vAlign w:val="center"/>
          </w:tcPr>
          <w:p>
            <w:pPr>
              <w:spacing w:line="190" w:lineRule="exact"/>
              <w:jc w:val="center"/>
              <w:rPr>
                <w:rFonts w:ascii="Arial"/>
                <w:sz w:val="16"/>
              </w:rPr>
            </w:pPr>
          </w:p>
        </w:tc>
        <w:tc>
          <w:tcPr>
            <w:tcW w:w="955" w:type="dxa"/>
            <w:vAlign w:val="center"/>
          </w:tcPr>
          <w:p>
            <w:pPr>
              <w:spacing w:line="190" w:lineRule="exact"/>
              <w:jc w:val="center"/>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624" w:type="dxa"/>
            <w:gridSpan w:val="3"/>
            <w:vMerge w:val="restart"/>
            <w:tcBorders>
              <w:bottom w:val="nil"/>
            </w:tcBorders>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pStyle w:val="5"/>
              <w:spacing w:before="55" w:line="219" w:lineRule="auto"/>
              <w:ind w:left="294"/>
              <w:rPr>
                <w:sz w:val="17"/>
                <w:szCs w:val="17"/>
              </w:rPr>
            </w:pPr>
            <w:r>
              <w:rPr>
                <w:spacing w:val="1"/>
                <w:sz w:val="17"/>
                <w:szCs w:val="17"/>
              </w:rPr>
              <w:t>资金管理情况</w:t>
            </w:r>
          </w:p>
        </w:tc>
        <w:tc>
          <w:tcPr>
            <w:tcW w:w="1818" w:type="dxa"/>
            <w:vAlign w:val="top"/>
          </w:tcPr>
          <w:p>
            <w:pPr>
              <w:rPr>
                <w:rFonts w:ascii="Arial"/>
                <w:sz w:val="21"/>
              </w:rPr>
            </w:pPr>
          </w:p>
        </w:tc>
        <w:tc>
          <w:tcPr>
            <w:tcW w:w="3824" w:type="dxa"/>
            <w:gridSpan w:val="3"/>
            <w:vAlign w:val="center"/>
          </w:tcPr>
          <w:p>
            <w:pPr>
              <w:pStyle w:val="5"/>
              <w:spacing w:before="108" w:line="219" w:lineRule="auto"/>
              <w:ind w:left="1112" w:firstLine="356" w:firstLineChars="200"/>
              <w:jc w:val="both"/>
              <w:rPr>
                <w:sz w:val="17"/>
                <w:szCs w:val="17"/>
              </w:rPr>
            </w:pPr>
            <w:r>
              <w:rPr>
                <w:spacing w:val="4"/>
                <w:sz w:val="17"/>
                <w:szCs w:val="17"/>
              </w:rPr>
              <w:t>情况说明</w:t>
            </w:r>
          </w:p>
        </w:tc>
        <w:tc>
          <w:tcPr>
            <w:tcW w:w="650" w:type="dxa"/>
            <w:vAlign w:val="center"/>
          </w:tcPr>
          <w:p>
            <w:pPr>
              <w:pStyle w:val="5"/>
              <w:spacing w:before="9" w:line="198" w:lineRule="auto"/>
              <w:ind w:left="115"/>
              <w:jc w:val="center"/>
              <w:rPr>
                <w:sz w:val="17"/>
                <w:szCs w:val="17"/>
              </w:rPr>
            </w:pPr>
            <w:r>
              <w:rPr>
                <w:spacing w:val="-3"/>
                <w:sz w:val="17"/>
                <w:szCs w:val="17"/>
              </w:rPr>
              <w:t>分值</w:t>
            </w:r>
          </w:p>
          <w:p>
            <w:pPr>
              <w:pStyle w:val="5"/>
              <w:spacing w:line="203" w:lineRule="auto"/>
              <w:ind w:left="145"/>
              <w:jc w:val="center"/>
              <w:rPr>
                <w:sz w:val="17"/>
                <w:szCs w:val="17"/>
              </w:rPr>
            </w:pPr>
            <w:r>
              <w:rPr>
                <w:spacing w:val="-7"/>
                <w:sz w:val="17"/>
                <w:szCs w:val="17"/>
              </w:rPr>
              <w:t>(40)</w:t>
            </w:r>
          </w:p>
        </w:tc>
        <w:tc>
          <w:tcPr>
            <w:tcW w:w="738" w:type="dxa"/>
            <w:vAlign w:val="center"/>
          </w:tcPr>
          <w:p>
            <w:pPr>
              <w:pStyle w:val="5"/>
              <w:spacing w:before="108" w:line="219" w:lineRule="auto"/>
              <w:ind w:left="56"/>
              <w:jc w:val="center"/>
              <w:rPr>
                <w:sz w:val="17"/>
                <w:szCs w:val="17"/>
              </w:rPr>
            </w:pPr>
            <w:r>
              <w:rPr>
                <w:spacing w:val="-2"/>
                <w:sz w:val="17"/>
                <w:szCs w:val="17"/>
              </w:rPr>
              <w:t>得分</w:t>
            </w:r>
          </w:p>
        </w:tc>
        <w:tc>
          <w:tcPr>
            <w:tcW w:w="955" w:type="dxa"/>
            <w:vAlign w:val="center"/>
          </w:tcPr>
          <w:p>
            <w:pPr>
              <w:pStyle w:val="5"/>
              <w:spacing w:before="108" w:line="219" w:lineRule="auto"/>
              <w:jc w:val="both"/>
              <w:rPr>
                <w:sz w:val="17"/>
                <w:szCs w:val="17"/>
              </w:rPr>
            </w:pPr>
            <w:r>
              <w:rPr>
                <w:spacing w:val="-1"/>
                <w:sz w:val="17"/>
                <w:szCs w:val="17"/>
              </w:rPr>
              <w:t>存在问题和改进措施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96" w:lineRule="auto"/>
              <w:ind w:left="20"/>
              <w:jc w:val="center"/>
              <w:rPr>
                <w:sz w:val="17"/>
                <w:szCs w:val="17"/>
              </w:rPr>
            </w:pPr>
            <w:r>
              <w:rPr>
                <w:spacing w:val="-2"/>
                <w:sz w:val="17"/>
                <w:szCs w:val="17"/>
              </w:rPr>
              <w:t>分配科学性</w:t>
            </w:r>
          </w:p>
        </w:tc>
        <w:tc>
          <w:tcPr>
            <w:tcW w:w="3824" w:type="dxa"/>
            <w:gridSpan w:val="3"/>
            <w:vAlign w:val="center"/>
          </w:tcPr>
          <w:p>
            <w:pPr>
              <w:spacing w:line="200" w:lineRule="exact"/>
              <w:jc w:val="center"/>
              <w:rPr>
                <w:rFonts w:ascii="Arial"/>
                <w:sz w:val="17"/>
              </w:rPr>
            </w:pPr>
            <w:r>
              <w:rPr>
                <w:rFonts w:hint="eastAsia"/>
                <w:sz w:val="21"/>
                <w:lang w:val="en-US" w:eastAsia="zh-CN"/>
              </w:rPr>
              <w:t>采用因素分配法，只要考虑人口数和发病率进行科学分配。</w:t>
            </w:r>
          </w:p>
        </w:tc>
        <w:tc>
          <w:tcPr>
            <w:tcW w:w="650" w:type="dxa"/>
            <w:vAlign w:val="center"/>
          </w:tcPr>
          <w:p>
            <w:pPr>
              <w:pStyle w:val="5"/>
              <w:spacing w:before="65" w:line="135" w:lineRule="exact"/>
              <w:ind w:left="246"/>
              <w:jc w:val="center"/>
              <w:rPr>
                <w:sz w:val="17"/>
                <w:szCs w:val="17"/>
              </w:rPr>
            </w:pPr>
            <w:r>
              <w:rPr>
                <w:position w:val="-2"/>
                <w:sz w:val="17"/>
                <w:szCs w:val="17"/>
              </w:rPr>
              <w:t>5</w:t>
            </w:r>
          </w:p>
        </w:tc>
        <w:tc>
          <w:tcPr>
            <w:tcW w:w="738" w:type="dxa"/>
            <w:vAlign w:val="center"/>
          </w:tcPr>
          <w:p>
            <w:pPr>
              <w:spacing w:line="200" w:lineRule="exact"/>
              <w:jc w:val="center"/>
              <w:rPr>
                <w:rFonts w:hint="default" w:ascii="Arial"/>
                <w:sz w:val="17"/>
                <w:lang w:val="en-US"/>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 w:line="194" w:lineRule="auto"/>
              <w:ind w:left="20"/>
              <w:jc w:val="center"/>
              <w:rPr>
                <w:sz w:val="17"/>
                <w:szCs w:val="17"/>
              </w:rPr>
            </w:pPr>
            <w:r>
              <w:rPr>
                <w:spacing w:val="-2"/>
                <w:sz w:val="17"/>
                <w:szCs w:val="17"/>
              </w:rPr>
              <w:t>下达及时性</w:t>
            </w:r>
          </w:p>
        </w:tc>
        <w:tc>
          <w:tcPr>
            <w:tcW w:w="3824" w:type="dxa"/>
            <w:gridSpan w:val="3"/>
            <w:vAlign w:val="top"/>
          </w:tcPr>
          <w:p>
            <w:pPr>
              <w:ind w:firstLine="420" w:firstLineChars="200"/>
              <w:jc w:val="both"/>
              <w:rPr>
                <w:rFonts w:hint="eastAsia" w:ascii="Arial" w:hAnsi="Arial" w:eastAsia="Arial" w:cs="Arial"/>
                <w:snapToGrid w:val="0"/>
                <w:color w:val="000000"/>
                <w:kern w:val="0"/>
                <w:sz w:val="21"/>
                <w:szCs w:val="21"/>
                <w:lang w:val="en-US" w:eastAsia="en-US" w:bidi="ar-SA"/>
              </w:rPr>
            </w:pPr>
            <w:r>
              <w:rPr>
                <w:rFonts w:hint="eastAsia" w:ascii="Arial"/>
                <w:sz w:val="21"/>
              </w:rPr>
              <w:t>项目资金使用符合国家财经法规和财务管理制度以及有关专项资金管理办法的规定，资金拨付有完整的审批程序和手续</w:t>
            </w:r>
          </w:p>
        </w:tc>
        <w:tc>
          <w:tcPr>
            <w:tcW w:w="650" w:type="dxa"/>
            <w:vAlign w:val="center"/>
          </w:tcPr>
          <w:p>
            <w:pPr>
              <w:pStyle w:val="5"/>
              <w:spacing w:before="45" w:line="135" w:lineRule="exact"/>
              <w:ind w:left="246"/>
              <w:jc w:val="both"/>
              <w:rPr>
                <w:sz w:val="17"/>
                <w:szCs w:val="17"/>
              </w:rPr>
            </w:pPr>
            <w:r>
              <w:rPr>
                <w:position w:val="-2"/>
                <w:sz w:val="17"/>
                <w:szCs w:val="17"/>
              </w:rPr>
              <w:t>5</w:t>
            </w:r>
          </w:p>
        </w:tc>
        <w:tc>
          <w:tcPr>
            <w:tcW w:w="738" w:type="dxa"/>
            <w:vAlign w:val="center"/>
          </w:tcPr>
          <w:p>
            <w:pPr>
              <w:spacing w:line="180" w:lineRule="exact"/>
              <w:jc w:val="center"/>
              <w:rPr>
                <w:rFonts w:hint="default" w:ascii="Arial"/>
                <w:sz w:val="15"/>
                <w:lang w:val="en-US"/>
              </w:rPr>
            </w:pPr>
            <w:r>
              <w:rPr>
                <w:rFonts w:hint="default"/>
                <w:sz w:val="15"/>
                <w:lang w:val="en-US"/>
              </w:rPr>
              <w:t>5</w:t>
            </w:r>
          </w:p>
        </w:tc>
        <w:tc>
          <w:tcPr>
            <w:tcW w:w="955" w:type="dxa"/>
            <w:vAlign w:val="top"/>
          </w:tcPr>
          <w:p>
            <w:pPr>
              <w:spacing w:line="180" w:lineRule="exact"/>
              <w:rPr>
                <w:rFonts w:ascii="Arial"/>
                <w:sz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85" w:lineRule="auto"/>
              <w:ind w:left="20"/>
              <w:jc w:val="center"/>
              <w:rPr>
                <w:sz w:val="17"/>
                <w:szCs w:val="17"/>
              </w:rPr>
            </w:pPr>
            <w:r>
              <w:rPr>
                <w:spacing w:val="-2"/>
                <w:sz w:val="17"/>
                <w:szCs w:val="17"/>
              </w:rPr>
              <w:t>拨付合规性</w:t>
            </w:r>
          </w:p>
        </w:tc>
        <w:tc>
          <w:tcPr>
            <w:tcW w:w="3824" w:type="dxa"/>
            <w:gridSpan w:val="3"/>
            <w:vAlign w:val="top"/>
          </w:tcPr>
          <w:p>
            <w:pPr>
              <w:jc w:val="center"/>
              <w:rPr>
                <w:rFonts w:hint="eastAsia" w:ascii="Arial" w:hAnsi="Arial" w:eastAsia="Arial" w:cs="Arial"/>
                <w:snapToGrid w:val="0"/>
                <w:color w:val="000000"/>
                <w:kern w:val="0"/>
                <w:sz w:val="21"/>
                <w:szCs w:val="21"/>
                <w:lang w:val="en-US" w:eastAsia="en-US" w:bidi="ar-SA"/>
              </w:rPr>
            </w:pPr>
            <w:r>
              <w:rPr>
                <w:rFonts w:hint="default"/>
                <w:sz w:val="21"/>
                <w:lang w:val="en-US"/>
              </w:rPr>
              <w:t xml:space="preserve">  </w:t>
            </w:r>
            <w:r>
              <w:rPr>
                <w:rFonts w:hint="eastAsia" w:ascii="Arial"/>
                <w:sz w:val="21"/>
              </w:rPr>
              <w:t>项目资金严格按照预算批复规定的用途支出，不存在截留、挤占、挪用、虚列支出等情况</w:t>
            </w:r>
          </w:p>
        </w:tc>
        <w:tc>
          <w:tcPr>
            <w:tcW w:w="650" w:type="dxa"/>
            <w:vAlign w:val="center"/>
          </w:tcPr>
          <w:p>
            <w:pPr>
              <w:spacing w:line="190" w:lineRule="exact"/>
              <w:jc w:val="center"/>
              <w:rPr>
                <w:rFonts w:hint="default" w:ascii="Arial"/>
                <w:sz w:val="16"/>
                <w:lang w:val="en-US"/>
              </w:rPr>
            </w:pPr>
            <w:r>
              <w:rPr>
                <w:rFonts w:hint="default"/>
                <w:sz w:val="16"/>
                <w:lang w:val="en-US"/>
              </w:rPr>
              <w:t>5</w:t>
            </w:r>
          </w:p>
        </w:tc>
        <w:tc>
          <w:tcPr>
            <w:tcW w:w="738" w:type="dxa"/>
            <w:vAlign w:val="center"/>
          </w:tcPr>
          <w:p>
            <w:pPr>
              <w:spacing w:line="190" w:lineRule="exact"/>
              <w:jc w:val="center"/>
              <w:rPr>
                <w:rFonts w:hint="default" w:ascii="Arial"/>
                <w:sz w:val="16"/>
                <w:lang w:val="en-US"/>
              </w:rPr>
            </w:pPr>
            <w:r>
              <w:rPr>
                <w:rFonts w:hint="default"/>
                <w:sz w:val="16"/>
                <w:lang w:val="en-US"/>
              </w:rPr>
              <w:t>5</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96" w:lineRule="auto"/>
              <w:ind w:left="20"/>
              <w:jc w:val="center"/>
              <w:rPr>
                <w:sz w:val="17"/>
                <w:szCs w:val="17"/>
              </w:rPr>
            </w:pPr>
            <w:r>
              <w:rPr>
                <w:spacing w:val="-2"/>
                <w:sz w:val="17"/>
                <w:szCs w:val="17"/>
              </w:rPr>
              <w:t>使用规范性</w:t>
            </w:r>
          </w:p>
        </w:tc>
        <w:tc>
          <w:tcPr>
            <w:tcW w:w="3824" w:type="dxa"/>
            <w:gridSpan w:val="3"/>
            <w:vAlign w:val="top"/>
          </w:tcPr>
          <w:p>
            <w:pPr>
              <w:ind w:firstLine="420" w:firstLineChars="200"/>
              <w:rPr>
                <w:rFonts w:hint="eastAsia" w:ascii="Arial" w:hAnsi="Arial" w:eastAsia="Arial" w:cs="Arial"/>
                <w:snapToGrid w:val="0"/>
                <w:color w:val="000000"/>
                <w:kern w:val="0"/>
                <w:sz w:val="21"/>
                <w:szCs w:val="21"/>
                <w:lang w:val="en-US" w:eastAsia="en-US" w:bidi="ar-SA"/>
              </w:rPr>
            </w:pPr>
            <w:r>
              <w:rPr>
                <w:rFonts w:hint="eastAsia" w:ascii="Arial" w:hAnsi="Arial" w:eastAsia="Arial" w:cs="Arial"/>
                <w:snapToGrid w:val="0"/>
                <w:color w:val="000000"/>
                <w:kern w:val="0"/>
                <w:sz w:val="21"/>
                <w:szCs w:val="21"/>
                <w:lang w:val="en-US" w:eastAsia="en-US" w:bidi="ar-SA"/>
              </w:rPr>
              <w:t>实行收支两条线，专户</w:t>
            </w:r>
            <w:r>
              <w:rPr>
                <w:rFonts w:hint="eastAsia" w:ascii="Arial" w:hAnsi="Arial" w:eastAsia="Arial" w:cs="Arial"/>
                <w:snapToGrid w:val="0"/>
                <w:color w:val="000000"/>
                <w:kern w:val="0"/>
                <w:sz w:val="21"/>
                <w:szCs w:val="21"/>
                <w:lang w:val="en-US" w:eastAsia="zh-CN" w:bidi="ar-SA"/>
              </w:rPr>
              <w:t>管理</w:t>
            </w:r>
            <w:r>
              <w:rPr>
                <w:rFonts w:hint="eastAsia" w:ascii="Arial" w:hAnsi="Arial" w:eastAsia="Arial" w:cs="Arial"/>
                <w:snapToGrid w:val="0"/>
                <w:color w:val="000000"/>
                <w:kern w:val="0"/>
                <w:sz w:val="21"/>
                <w:szCs w:val="21"/>
                <w:lang w:val="en-US" w:eastAsia="en-US" w:bidi="ar-SA"/>
              </w:rPr>
              <w:t>，分账核算</w:t>
            </w:r>
          </w:p>
        </w:tc>
        <w:tc>
          <w:tcPr>
            <w:tcW w:w="650" w:type="dxa"/>
            <w:vAlign w:val="center"/>
          </w:tcPr>
          <w:p>
            <w:pPr>
              <w:pStyle w:val="5"/>
              <w:spacing w:before="64" w:line="136" w:lineRule="exact"/>
              <w:ind w:left="246"/>
              <w:jc w:val="both"/>
              <w:rPr>
                <w:sz w:val="17"/>
                <w:szCs w:val="17"/>
              </w:rPr>
            </w:pPr>
            <w:r>
              <w:rPr>
                <w:position w:val="-2"/>
                <w:sz w:val="17"/>
                <w:szCs w:val="17"/>
              </w:rPr>
              <w:t>5</w:t>
            </w:r>
          </w:p>
        </w:tc>
        <w:tc>
          <w:tcPr>
            <w:tcW w:w="738" w:type="dxa"/>
            <w:vAlign w:val="center"/>
          </w:tcPr>
          <w:p>
            <w:pPr>
              <w:spacing w:line="200" w:lineRule="exact"/>
              <w:jc w:val="center"/>
              <w:rPr>
                <w:rFonts w:hint="default" w:ascii="Arial"/>
                <w:sz w:val="17"/>
                <w:lang w:val="en-US"/>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85" w:lineRule="auto"/>
              <w:ind w:left="20"/>
              <w:jc w:val="center"/>
              <w:rPr>
                <w:sz w:val="17"/>
                <w:szCs w:val="17"/>
              </w:rPr>
            </w:pPr>
            <w:r>
              <w:rPr>
                <w:spacing w:val="-2"/>
                <w:sz w:val="17"/>
                <w:szCs w:val="17"/>
              </w:rPr>
              <w:t>执行准确性</w:t>
            </w:r>
          </w:p>
        </w:tc>
        <w:tc>
          <w:tcPr>
            <w:tcW w:w="3824" w:type="dxa"/>
            <w:gridSpan w:val="3"/>
            <w:vAlign w:val="top"/>
          </w:tcPr>
          <w:p>
            <w:pPr>
              <w:rPr>
                <w:rFonts w:hint="default" w:ascii="Arial" w:hAnsi="Arial" w:eastAsia="宋体" w:cs="Arial"/>
                <w:snapToGrid w:val="0"/>
                <w:color w:val="000000"/>
                <w:kern w:val="0"/>
                <w:sz w:val="21"/>
                <w:szCs w:val="21"/>
                <w:lang w:val="en-US" w:eastAsia="zh-CN" w:bidi="ar-SA"/>
              </w:rPr>
            </w:pPr>
            <w:r>
              <w:rPr>
                <w:rFonts w:hint="default"/>
                <w:sz w:val="21"/>
                <w:lang w:val="en-US"/>
              </w:rPr>
              <w:t xml:space="preserve">   </w:t>
            </w:r>
            <w:r>
              <w:rPr>
                <w:rFonts w:hint="eastAsia"/>
                <w:sz w:val="21"/>
                <w:lang w:val="en-US" w:eastAsia="zh-CN"/>
              </w:rPr>
              <w:t>在预算范围内严格遵循财务规定，对资金支付执行审签制度，并在规定时限内发放到位，确保各项支出符合规定并有效支持了各项工作的顺利开展。</w:t>
            </w:r>
          </w:p>
        </w:tc>
        <w:tc>
          <w:tcPr>
            <w:tcW w:w="650" w:type="dxa"/>
            <w:vAlign w:val="center"/>
          </w:tcPr>
          <w:p>
            <w:pPr>
              <w:pStyle w:val="5"/>
              <w:spacing w:before="64" w:line="126" w:lineRule="exact"/>
              <w:ind w:left="246"/>
              <w:jc w:val="both"/>
              <w:rPr>
                <w:sz w:val="17"/>
                <w:szCs w:val="17"/>
              </w:rPr>
            </w:pPr>
            <w:r>
              <w:rPr>
                <w:position w:val="-2"/>
                <w:sz w:val="17"/>
                <w:szCs w:val="17"/>
              </w:rPr>
              <w:t>5</w:t>
            </w:r>
          </w:p>
        </w:tc>
        <w:tc>
          <w:tcPr>
            <w:tcW w:w="738" w:type="dxa"/>
            <w:vAlign w:val="center"/>
          </w:tcPr>
          <w:p>
            <w:pPr>
              <w:spacing w:line="190" w:lineRule="exact"/>
              <w:jc w:val="center"/>
              <w:rPr>
                <w:rFonts w:hint="default" w:ascii="Arial"/>
                <w:sz w:val="16"/>
                <w:lang w:val="en-US"/>
              </w:rPr>
            </w:pPr>
            <w:r>
              <w:rPr>
                <w:rFonts w:hint="default"/>
                <w:sz w:val="16"/>
                <w:lang w:val="en-US"/>
              </w:rPr>
              <w:t>5</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96" w:lineRule="auto"/>
              <w:ind w:left="20"/>
              <w:jc w:val="center"/>
              <w:rPr>
                <w:sz w:val="17"/>
                <w:szCs w:val="17"/>
              </w:rPr>
            </w:pPr>
            <w:r>
              <w:rPr>
                <w:spacing w:val="-1"/>
                <w:sz w:val="17"/>
                <w:szCs w:val="17"/>
              </w:rPr>
              <w:t>预算绩效管理情况</w:t>
            </w:r>
          </w:p>
        </w:tc>
        <w:tc>
          <w:tcPr>
            <w:tcW w:w="3824" w:type="dxa"/>
            <w:gridSpan w:val="3"/>
            <w:vAlign w:val="top"/>
          </w:tcPr>
          <w:p>
            <w:pPr>
              <w:rPr>
                <w:rFonts w:ascii="Arial" w:hAnsi="Arial" w:eastAsia="Arial" w:cs="Arial"/>
                <w:snapToGrid w:val="0"/>
                <w:color w:val="000000"/>
                <w:kern w:val="0"/>
                <w:sz w:val="21"/>
                <w:szCs w:val="21"/>
                <w:lang w:val="en-US" w:eastAsia="en-US" w:bidi="ar-SA"/>
              </w:rPr>
            </w:pPr>
            <w:r>
              <w:rPr>
                <w:rFonts w:hint="eastAsia"/>
                <w:sz w:val="21"/>
                <w:lang w:val="en-US" w:eastAsia="zh-CN"/>
              </w:rPr>
              <w:t>加强预算编制绩效管理，强化项目绩效目标，对我部门预算项目进行全面梳理、加强审核、合理保障。强化预算绩效管理意识，抓好预算绩效管理的绩效目标管理和及绩效评价管理工作，充分利用预算绩效评价结果。</w:t>
            </w:r>
          </w:p>
        </w:tc>
        <w:tc>
          <w:tcPr>
            <w:tcW w:w="650" w:type="dxa"/>
            <w:vAlign w:val="center"/>
          </w:tcPr>
          <w:p>
            <w:pPr>
              <w:spacing w:line="200" w:lineRule="exact"/>
              <w:jc w:val="center"/>
              <w:rPr>
                <w:rFonts w:hint="default" w:ascii="Arial"/>
                <w:sz w:val="17"/>
                <w:lang w:val="en-US"/>
              </w:rPr>
            </w:pPr>
            <w:r>
              <w:rPr>
                <w:rFonts w:hint="default"/>
                <w:sz w:val="17"/>
                <w:lang w:val="en-US"/>
              </w:rPr>
              <w:t>5</w:t>
            </w:r>
          </w:p>
        </w:tc>
        <w:tc>
          <w:tcPr>
            <w:tcW w:w="738" w:type="dxa"/>
            <w:vAlign w:val="center"/>
          </w:tcPr>
          <w:p>
            <w:pPr>
              <w:spacing w:line="200" w:lineRule="exact"/>
              <w:jc w:val="center"/>
              <w:rPr>
                <w:rFonts w:hint="default" w:ascii="Arial"/>
                <w:sz w:val="17"/>
                <w:lang w:val="en-US"/>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trPr>
        <w:tc>
          <w:tcPr>
            <w:tcW w:w="1624" w:type="dxa"/>
            <w:gridSpan w:val="3"/>
            <w:vMerge w:val="continue"/>
            <w:tcBorders>
              <w:top w:val="nil"/>
              <w:bottom w:val="nil"/>
            </w:tcBorders>
            <w:vAlign w:val="top"/>
          </w:tcPr>
          <w:p>
            <w:pPr>
              <w:rPr>
                <w:rFonts w:ascii="Arial"/>
                <w:sz w:val="21"/>
              </w:rPr>
            </w:pPr>
          </w:p>
        </w:tc>
        <w:tc>
          <w:tcPr>
            <w:tcW w:w="1818" w:type="dxa"/>
            <w:vAlign w:val="center"/>
          </w:tcPr>
          <w:p>
            <w:pPr>
              <w:pStyle w:val="5"/>
              <w:spacing w:before="19" w:line="184" w:lineRule="auto"/>
              <w:ind w:left="20"/>
              <w:jc w:val="center"/>
              <w:rPr>
                <w:sz w:val="17"/>
                <w:szCs w:val="17"/>
              </w:rPr>
            </w:pPr>
            <w:r>
              <w:rPr>
                <w:spacing w:val="-1"/>
                <w:sz w:val="17"/>
                <w:szCs w:val="17"/>
              </w:rPr>
              <w:t>支出责任履行情况</w:t>
            </w:r>
          </w:p>
        </w:tc>
        <w:tc>
          <w:tcPr>
            <w:tcW w:w="3824" w:type="dxa"/>
            <w:gridSpan w:val="3"/>
            <w:vAlign w:val="top"/>
          </w:tcPr>
          <w:p>
            <w:pPr>
              <w:ind w:firstLine="420" w:firstLineChars="200"/>
              <w:jc w:val="both"/>
              <w:rPr>
                <w:rFonts w:hint="eastAsia" w:ascii="Arial"/>
                <w:sz w:val="21"/>
                <w:lang w:val="en-US" w:eastAsia="zh-CN"/>
              </w:rPr>
            </w:pPr>
            <w:r>
              <w:rPr>
                <w:rFonts w:hint="eastAsia" w:ascii="Arial"/>
                <w:sz w:val="21"/>
                <w:lang w:val="en-US" w:eastAsia="zh-CN"/>
              </w:rPr>
              <w:t>我市城</w:t>
            </w:r>
            <w:r>
              <w:rPr>
                <w:spacing w:val="1"/>
              </w:rPr>
              <w:t>医疗救助补助资金</w:t>
            </w:r>
            <w:r>
              <w:rPr>
                <w:rFonts w:hint="eastAsia" w:ascii="Arial"/>
                <w:sz w:val="21"/>
              </w:rPr>
              <w:t>实行市级统收统支，并对基金账户管理、预决算管理、收支管理、责任分担和监督管理等方面进一步明确操作流程和管理规定。</w:t>
            </w:r>
          </w:p>
          <w:p>
            <w:pPr>
              <w:rPr>
                <w:rFonts w:ascii="Arial" w:hAnsi="Arial" w:eastAsia="Arial" w:cs="Arial"/>
                <w:snapToGrid w:val="0"/>
                <w:color w:val="000000"/>
                <w:kern w:val="0"/>
                <w:sz w:val="21"/>
                <w:szCs w:val="21"/>
                <w:lang w:val="en-US" w:eastAsia="en-US" w:bidi="ar-SA"/>
              </w:rPr>
            </w:pPr>
          </w:p>
        </w:tc>
        <w:tc>
          <w:tcPr>
            <w:tcW w:w="650" w:type="dxa"/>
            <w:vAlign w:val="center"/>
          </w:tcPr>
          <w:p>
            <w:pPr>
              <w:pStyle w:val="5"/>
              <w:spacing w:before="64" w:line="125" w:lineRule="exact"/>
              <w:ind w:left="246"/>
              <w:jc w:val="both"/>
              <w:rPr>
                <w:sz w:val="17"/>
                <w:szCs w:val="17"/>
              </w:rPr>
            </w:pPr>
            <w:r>
              <w:rPr>
                <w:position w:val="-2"/>
                <w:sz w:val="17"/>
                <w:szCs w:val="17"/>
              </w:rPr>
              <w:t>5</w:t>
            </w:r>
          </w:p>
        </w:tc>
        <w:tc>
          <w:tcPr>
            <w:tcW w:w="738" w:type="dxa"/>
            <w:vAlign w:val="center"/>
          </w:tcPr>
          <w:p>
            <w:pPr>
              <w:spacing w:line="189" w:lineRule="exact"/>
              <w:jc w:val="center"/>
              <w:rPr>
                <w:rFonts w:hint="default" w:ascii="Arial"/>
                <w:sz w:val="16"/>
                <w:lang w:val="en-US"/>
              </w:rPr>
            </w:pPr>
            <w:r>
              <w:rPr>
                <w:rFonts w:hint="default"/>
                <w:sz w:val="16"/>
                <w:lang w:val="en-US"/>
              </w:rPr>
              <w:t>5</w:t>
            </w:r>
          </w:p>
        </w:tc>
        <w:tc>
          <w:tcPr>
            <w:tcW w:w="955" w:type="dxa"/>
            <w:vAlign w:val="top"/>
          </w:tcPr>
          <w:p>
            <w:pPr>
              <w:spacing w:line="189"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624" w:type="dxa"/>
            <w:gridSpan w:val="3"/>
            <w:vMerge w:val="continue"/>
            <w:tcBorders>
              <w:top w:val="nil"/>
            </w:tcBorders>
            <w:vAlign w:val="top"/>
          </w:tcPr>
          <w:p>
            <w:pPr>
              <w:rPr>
                <w:rFonts w:ascii="Arial"/>
                <w:sz w:val="21"/>
              </w:rPr>
            </w:pPr>
          </w:p>
        </w:tc>
        <w:tc>
          <w:tcPr>
            <w:tcW w:w="1818" w:type="dxa"/>
            <w:vAlign w:val="center"/>
          </w:tcPr>
          <w:p>
            <w:pPr>
              <w:pStyle w:val="5"/>
              <w:spacing w:before="21" w:line="183" w:lineRule="auto"/>
              <w:ind w:left="20"/>
              <w:jc w:val="center"/>
              <w:rPr>
                <w:color w:val="auto"/>
                <w:sz w:val="17"/>
                <w:szCs w:val="17"/>
                <w:highlight w:val="none"/>
              </w:rPr>
            </w:pPr>
            <w:r>
              <w:rPr>
                <w:color w:val="auto"/>
                <w:spacing w:val="-1"/>
                <w:sz w:val="17"/>
                <w:szCs w:val="17"/>
                <w:highlight w:val="none"/>
              </w:rPr>
              <w:t>政策目标实现情况</w:t>
            </w:r>
          </w:p>
        </w:tc>
        <w:tc>
          <w:tcPr>
            <w:tcW w:w="3824" w:type="dxa"/>
            <w:gridSpan w:val="3"/>
            <w:vAlign w:val="top"/>
          </w:tcPr>
          <w:p>
            <w:pPr>
              <w:ind w:firstLine="420" w:firstLineChars="200"/>
              <w:jc w:val="both"/>
              <w:rPr>
                <w:rFonts w:hint="default" w:ascii="Arial"/>
                <w:sz w:val="21"/>
                <w:lang w:val="en-US" w:eastAsia="zh-CN"/>
              </w:rPr>
            </w:pPr>
            <w:r>
              <w:rPr>
                <w:rFonts w:hint="eastAsia" w:ascii="Arial"/>
                <w:sz w:val="21"/>
                <w:lang w:val="en-US" w:eastAsia="zh-CN"/>
              </w:rPr>
              <w:t>建立完善城乡医疗救助制度，进一步减轻困难群众和大病患者医疗费用负担，强化基本医疗保险、大病保险、医疗救助(以下简称三重制度)综合保障，防范因病致贫返贫，促进共</w:t>
            </w:r>
            <w:bookmarkStart w:id="0" w:name="_GoBack"/>
            <w:bookmarkEnd w:id="0"/>
            <w:r>
              <w:rPr>
                <w:rFonts w:hint="eastAsia" w:ascii="Arial"/>
                <w:sz w:val="21"/>
                <w:lang w:val="en-US" w:eastAsia="zh-CN"/>
              </w:rPr>
              <w:t>同富裕；对特困人员、低保对象、返贫致贫人口和监测人口等参加乌海市城乡居民基本医疗保险个人缴费部分给予补贴，住院救助和门诊救助应救尽救，有效缓解困难群众“看病贵”问题。在坚持医保制度普惠性保障功能的同时，增强对困难群众基础性、兜底性保障，逐步实现由集中资源支持脱贫攻坚向统筹基本医保、大病保险、医疗救助三重制度常态化保障平稳过渡，助力乡村振兴战略全面推进，扎实推动共同富裕，不断增强农村参保群众获得感、幸福感、安全感。</w:t>
            </w:r>
          </w:p>
          <w:p>
            <w:pPr>
              <w:spacing w:line="190" w:lineRule="exact"/>
              <w:rPr>
                <w:rFonts w:ascii="Arial"/>
                <w:color w:val="auto"/>
                <w:sz w:val="16"/>
                <w:highlight w:val="none"/>
              </w:rPr>
            </w:pPr>
          </w:p>
        </w:tc>
        <w:tc>
          <w:tcPr>
            <w:tcW w:w="650" w:type="dxa"/>
            <w:vAlign w:val="center"/>
          </w:tcPr>
          <w:p>
            <w:pPr>
              <w:pStyle w:val="5"/>
              <w:spacing w:before="65" w:line="125" w:lineRule="exact"/>
              <w:ind w:left="246"/>
              <w:jc w:val="both"/>
              <w:rPr>
                <w:sz w:val="17"/>
                <w:szCs w:val="17"/>
              </w:rPr>
            </w:pPr>
            <w:r>
              <w:rPr>
                <w:position w:val="-2"/>
                <w:sz w:val="17"/>
                <w:szCs w:val="17"/>
              </w:rPr>
              <w:t>5</w:t>
            </w:r>
          </w:p>
        </w:tc>
        <w:tc>
          <w:tcPr>
            <w:tcW w:w="738" w:type="dxa"/>
            <w:vAlign w:val="center"/>
          </w:tcPr>
          <w:p>
            <w:pPr>
              <w:spacing w:line="190" w:lineRule="exact"/>
              <w:jc w:val="center"/>
              <w:rPr>
                <w:rFonts w:hint="default" w:ascii="Arial"/>
                <w:sz w:val="16"/>
                <w:lang w:val="en-US"/>
              </w:rPr>
            </w:pPr>
            <w:r>
              <w:rPr>
                <w:rFonts w:hint="default"/>
                <w:sz w:val="16"/>
                <w:lang w:val="en-US"/>
              </w:rPr>
              <w:t>5</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05" w:type="dxa"/>
            <w:vMerge w:val="restart"/>
            <w:tcBorders>
              <w:bottom w:val="nil"/>
            </w:tcBorders>
            <w:vAlign w:val="center"/>
          </w:tcPr>
          <w:p>
            <w:pPr>
              <w:pStyle w:val="5"/>
              <w:spacing w:before="12" w:line="221" w:lineRule="auto"/>
              <w:ind w:left="14" w:right="37" w:firstLine="9"/>
              <w:jc w:val="center"/>
              <w:rPr>
                <w:sz w:val="17"/>
                <w:szCs w:val="17"/>
              </w:rPr>
            </w:pPr>
            <w:r>
              <w:rPr>
                <w:spacing w:val="-6"/>
                <w:sz w:val="17"/>
                <w:szCs w:val="17"/>
              </w:rPr>
              <w:t>总体</w:t>
            </w:r>
            <w:r>
              <w:rPr>
                <w:sz w:val="17"/>
                <w:szCs w:val="17"/>
              </w:rPr>
              <w:t xml:space="preserve"> </w:t>
            </w:r>
            <w:r>
              <w:rPr>
                <w:sz w:val="30"/>
                <w:szCs w:val="30"/>
              </w:rPr>
              <w:t xml:space="preserve"> </w:t>
            </w:r>
            <w:r>
              <w:rPr>
                <w:spacing w:val="1"/>
                <w:sz w:val="17"/>
                <w:szCs w:val="17"/>
              </w:rPr>
              <w:t>情况</w:t>
            </w:r>
          </w:p>
        </w:tc>
        <w:tc>
          <w:tcPr>
            <w:tcW w:w="5149" w:type="dxa"/>
            <w:gridSpan w:val="5"/>
            <w:vAlign w:val="center"/>
          </w:tcPr>
          <w:p>
            <w:pPr>
              <w:pStyle w:val="5"/>
              <w:spacing w:before="41" w:line="216" w:lineRule="auto"/>
              <w:ind w:left="2129"/>
              <w:jc w:val="both"/>
              <w:rPr>
                <w:sz w:val="17"/>
                <w:szCs w:val="17"/>
              </w:rPr>
            </w:pPr>
            <w:r>
              <w:rPr>
                <w:spacing w:val="-3"/>
                <w:sz w:val="17"/>
                <w:szCs w:val="17"/>
              </w:rPr>
              <w:t>总体目标</w:t>
            </w:r>
          </w:p>
        </w:tc>
        <w:tc>
          <w:tcPr>
            <w:tcW w:w="4055" w:type="dxa"/>
            <w:gridSpan w:val="4"/>
            <w:vAlign w:val="center"/>
          </w:tcPr>
          <w:p>
            <w:pPr>
              <w:pStyle w:val="5"/>
              <w:spacing w:before="41" w:line="216" w:lineRule="auto"/>
              <w:ind w:left="1514"/>
              <w:jc w:val="both"/>
              <w:rPr>
                <w:sz w:val="17"/>
                <w:szCs w:val="17"/>
              </w:rPr>
            </w:pPr>
            <w:r>
              <w:rPr>
                <w:spacing w:val="-1"/>
                <w:sz w:val="17"/>
                <w:szCs w:val="17"/>
              </w:rPr>
              <w:t>全年实际完成情况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05" w:type="dxa"/>
            <w:vMerge w:val="continue"/>
            <w:tcBorders>
              <w:top w:val="nil"/>
            </w:tcBorders>
            <w:vAlign w:val="top"/>
          </w:tcPr>
          <w:p>
            <w:pPr>
              <w:rPr>
                <w:rFonts w:ascii="Arial"/>
                <w:sz w:val="21"/>
              </w:rPr>
            </w:pPr>
          </w:p>
        </w:tc>
        <w:tc>
          <w:tcPr>
            <w:tcW w:w="5149" w:type="dxa"/>
            <w:gridSpan w:val="5"/>
            <w:vAlign w:val="center"/>
          </w:tcPr>
          <w:p>
            <w:pPr>
              <w:jc w:val="center"/>
              <w:rPr>
                <w:rFonts w:ascii="Arial"/>
                <w:sz w:val="21"/>
              </w:rPr>
            </w:pPr>
            <w:r>
              <w:rPr>
                <w:rFonts w:hint="eastAsia" w:ascii="Arial"/>
                <w:sz w:val="21"/>
              </w:rPr>
              <w:t>通过实施城乡医疗救助，医疗救助对象人次规模不低于上年，重点救助对象政策范围内个人自付费用年度限额不低于60%，倾斜救助不设封顶线。</w:t>
            </w:r>
          </w:p>
        </w:tc>
        <w:tc>
          <w:tcPr>
            <w:tcW w:w="4055" w:type="dxa"/>
            <w:gridSpan w:val="4"/>
            <w:vAlign w:val="top"/>
          </w:tcPr>
          <w:p>
            <w:pPr>
              <w:rPr>
                <w:rFonts w:hint="eastAsia" w:ascii="Arial"/>
                <w:sz w:val="21"/>
                <w:lang w:val="en-US" w:eastAsia="zh-CN"/>
              </w:rPr>
            </w:pPr>
            <w:r>
              <w:rPr>
                <w:rFonts w:hint="eastAsia" w:ascii="Arial"/>
                <w:sz w:val="21"/>
                <w:lang w:val="en-US" w:eastAsia="zh-CN"/>
              </w:rPr>
              <w:t>一是科学确定救助对象范围，将现行政策下符合医疗救助条件的城乡医疗救助对象全部纳入保障范围。二是夯实医疗救助托底保障，持续实施重特大疾病医疗救助，重点救助对象自付医疗费用年度限额内住院救助比例达到60%，健全防范和化解因病致贫返贫长效机制。三是强化基本医疗保险、大病保险、医疗救助三重制度综合保障，规范医疗救助管理，正确界定合规医疗费用，实事求是确定困难群众医疗保障待遇标准，同时避免过度保障。四是动态比对特殊人群范围，简化经办操作，医疗救助重点对象实现统筹区域内“一站式服务、一窗口办理、一单制结算”。五是建立完善医疗救助制度，全市2023年财政下达的医疗救助资金在实施医疗救助、提高保障水平、减轻困难群众看病就医负担等方面发挥了积极作用，补助资金管理使用规范合理，各项绩效指标完成情况良好。</w:t>
            </w:r>
          </w:p>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05" w:type="dxa"/>
            <w:vMerge w:val="restart"/>
            <w:tcBorders>
              <w:bottom w:val="nil"/>
            </w:tcBorders>
            <w:textDirection w:val="tbRlV"/>
            <w:vAlign w:val="top"/>
          </w:tcPr>
          <w:p>
            <w:pPr>
              <w:pStyle w:val="5"/>
              <w:spacing w:before="119" w:line="217" w:lineRule="auto"/>
              <w:ind w:left="3036"/>
              <w:rPr>
                <w:sz w:val="17"/>
                <w:szCs w:val="17"/>
              </w:rPr>
            </w:pPr>
            <w:r>
              <w:rPr>
                <w:sz w:val="17"/>
                <w:szCs w:val="17"/>
              </w:rPr>
              <w:t>绩效指标</w:t>
            </w:r>
          </w:p>
        </w:tc>
        <w:tc>
          <w:tcPr>
            <w:tcW w:w="400" w:type="dxa"/>
            <w:vAlign w:val="center"/>
          </w:tcPr>
          <w:p>
            <w:pPr>
              <w:pStyle w:val="5"/>
              <w:spacing w:before="24" w:line="198" w:lineRule="auto"/>
              <w:ind w:left="19" w:firstLine="39"/>
              <w:jc w:val="center"/>
              <w:rPr>
                <w:sz w:val="17"/>
                <w:szCs w:val="17"/>
              </w:rPr>
            </w:pPr>
            <w:r>
              <w:rPr>
                <w:spacing w:val="-5"/>
                <w:sz w:val="17"/>
                <w:szCs w:val="17"/>
              </w:rPr>
              <w:t>一级</w:t>
            </w:r>
            <w:r>
              <w:rPr>
                <w:sz w:val="17"/>
                <w:szCs w:val="17"/>
              </w:rPr>
              <w:t xml:space="preserve"> </w:t>
            </w:r>
            <w:r>
              <w:rPr>
                <w:spacing w:val="-3"/>
                <w:sz w:val="17"/>
                <w:szCs w:val="17"/>
              </w:rPr>
              <w:t>指标</w:t>
            </w:r>
          </w:p>
        </w:tc>
        <w:tc>
          <w:tcPr>
            <w:tcW w:w="819" w:type="dxa"/>
            <w:vAlign w:val="center"/>
          </w:tcPr>
          <w:p>
            <w:pPr>
              <w:pStyle w:val="5"/>
              <w:spacing w:before="122" w:line="220" w:lineRule="auto"/>
              <w:ind w:left="60"/>
              <w:jc w:val="center"/>
              <w:rPr>
                <w:sz w:val="17"/>
                <w:szCs w:val="17"/>
              </w:rPr>
            </w:pPr>
            <w:r>
              <w:rPr>
                <w:spacing w:val="-2"/>
                <w:sz w:val="17"/>
                <w:szCs w:val="17"/>
              </w:rPr>
              <w:t>二级指标</w:t>
            </w:r>
          </w:p>
        </w:tc>
        <w:tc>
          <w:tcPr>
            <w:tcW w:w="2757" w:type="dxa"/>
            <w:gridSpan w:val="2"/>
            <w:vAlign w:val="center"/>
          </w:tcPr>
          <w:p>
            <w:pPr>
              <w:pStyle w:val="5"/>
              <w:spacing w:before="122" w:line="220" w:lineRule="auto"/>
              <w:ind w:left="1080"/>
              <w:jc w:val="center"/>
              <w:rPr>
                <w:sz w:val="17"/>
                <w:szCs w:val="17"/>
              </w:rPr>
            </w:pPr>
            <w:r>
              <w:rPr>
                <w:spacing w:val="-2"/>
                <w:sz w:val="17"/>
                <w:szCs w:val="17"/>
              </w:rPr>
              <w:t>三级指标</w:t>
            </w:r>
          </w:p>
        </w:tc>
        <w:tc>
          <w:tcPr>
            <w:tcW w:w="1173" w:type="dxa"/>
            <w:vAlign w:val="center"/>
          </w:tcPr>
          <w:p>
            <w:pPr>
              <w:pStyle w:val="5"/>
              <w:spacing w:before="121" w:line="219" w:lineRule="auto"/>
              <w:ind w:left="213"/>
              <w:jc w:val="center"/>
              <w:rPr>
                <w:sz w:val="17"/>
                <w:szCs w:val="17"/>
              </w:rPr>
            </w:pPr>
            <w:r>
              <w:rPr>
                <w:spacing w:val="-2"/>
                <w:sz w:val="17"/>
                <w:szCs w:val="17"/>
              </w:rPr>
              <w:t>指标值</w:t>
            </w:r>
          </w:p>
        </w:tc>
        <w:tc>
          <w:tcPr>
            <w:tcW w:w="1712" w:type="dxa"/>
            <w:vAlign w:val="center"/>
          </w:tcPr>
          <w:p>
            <w:pPr>
              <w:pStyle w:val="5"/>
              <w:spacing w:before="22" w:line="199" w:lineRule="auto"/>
              <w:ind w:left="334" w:hanging="240"/>
              <w:jc w:val="center"/>
              <w:rPr>
                <w:sz w:val="17"/>
                <w:szCs w:val="17"/>
              </w:rPr>
            </w:pPr>
            <w:r>
              <w:rPr>
                <w:spacing w:val="-2"/>
                <w:sz w:val="17"/>
                <w:szCs w:val="17"/>
              </w:rPr>
              <w:t>全年实际完</w:t>
            </w:r>
            <w:r>
              <w:rPr>
                <w:spacing w:val="2"/>
                <w:sz w:val="17"/>
                <w:szCs w:val="17"/>
              </w:rPr>
              <w:t xml:space="preserve"> </w:t>
            </w:r>
            <w:r>
              <w:rPr>
                <w:spacing w:val="-2"/>
                <w:sz w:val="17"/>
                <w:szCs w:val="17"/>
              </w:rPr>
              <w:t>成值</w:t>
            </w:r>
          </w:p>
        </w:tc>
        <w:tc>
          <w:tcPr>
            <w:tcW w:w="650" w:type="dxa"/>
            <w:vAlign w:val="center"/>
          </w:tcPr>
          <w:p>
            <w:pPr>
              <w:pStyle w:val="5"/>
              <w:spacing w:before="121" w:line="219" w:lineRule="auto"/>
              <w:ind w:left="115"/>
              <w:jc w:val="center"/>
              <w:rPr>
                <w:sz w:val="17"/>
                <w:szCs w:val="17"/>
              </w:rPr>
            </w:pPr>
            <w:r>
              <w:rPr>
                <w:spacing w:val="-3"/>
                <w:sz w:val="17"/>
                <w:szCs w:val="17"/>
              </w:rPr>
              <w:t>分值</w:t>
            </w:r>
          </w:p>
        </w:tc>
        <w:tc>
          <w:tcPr>
            <w:tcW w:w="738" w:type="dxa"/>
            <w:vAlign w:val="center"/>
          </w:tcPr>
          <w:p>
            <w:pPr>
              <w:pStyle w:val="5"/>
              <w:spacing w:before="121" w:line="219" w:lineRule="auto"/>
              <w:ind w:left="56"/>
              <w:jc w:val="center"/>
              <w:rPr>
                <w:sz w:val="17"/>
                <w:szCs w:val="17"/>
              </w:rPr>
            </w:pPr>
            <w:r>
              <w:rPr>
                <w:spacing w:val="-2"/>
                <w:sz w:val="17"/>
                <w:szCs w:val="17"/>
              </w:rPr>
              <w:t>得分</w:t>
            </w:r>
          </w:p>
        </w:tc>
        <w:tc>
          <w:tcPr>
            <w:tcW w:w="955" w:type="dxa"/>
            <w:vAlign w:val="center"/>
          </w:tcPr>
          <w:p>
            <w:pPr>
              <w:pStyle w:val="5"/>
              <w:spacing w:before="121" w:line="219" w:lineRule="auto"/>
              <w:jc w:val="both"/>
              <w:rPr>
                <w:sz w:val="17"/>
                <w:szCs w:val="17"/>
              </w:rPr>
            </w:pPr>
            <w:r>
              <w:rPr>
                <w:spacing w:val="-1"/>
                <w:sz w:val="17"/>
                <w:szCs w:val="17"/>
              </w:rPr>
              <w:t>未完成原因和改进措施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405" w:type="dxa"/>
            <w:vMerge w:val="continue"/>
            <w:tcBorders>
              <w:top w:val="nil"/>
              <w:bottom w:val="nil"/>
            </w:tcBorders>
            <w:textDirection w:val="tbRlV"/>
            <w:vAlign w:val="top"/>
          </w:tcPr>
          <w:p>
            <w:pPr>
              <w:rPr>
                <w:rFonts w:ascii="Arial"/>
                <w:sz w:val="21"/>
              </w:rPr>
            </w:pPr>
          </w:p>
        </w:tc>
        <w:tc>
          <w:tcPr>
            <w:tcW w:w="400" w:type="dxa"/>
            <w:vMerge w:val="restart"/>
            <w:textDirection w:val="tbRlV"/>
            <w:vAlign w:val="center"/>
          </w:tcPr>
          <w:p>
            <w:pPr>
              <w:pStyle w:val="5"/>
              <w:spacing w:before="120" w:line="216" w:lineRule="auto"/>
              <w:ind w:left="1027"/>
              <w:jc w:val="center"/>
              <w:rPr>
                <w:sz w:val="17"/>
                <w:szCs w:val="17"/>
              </w:rPr>
            </w:pPr>
            <w:r>
              <w:rPr>
                <w:sz w:val="17"/>
                <w:szCs w:val="17"/>
              </w:rPr>
              <w:t>产出指标</w:t>
            </w:r>
          </w:p>
        </w:tc>
        <w:tc>
          <w:tcPr>
            <w:tcW w:w="819" w:type="dxa"/>
            <w:vMerge w:val="restart"/>
            <w:tcBorders>
              <w:bottom w:val="nil"/>
            </w:tcBorders>
            <w:vAlign w:val="center"/>
          </w:tcPr>
          <w:p>
            <w:pPr>
              <w:pStyle w:val="5"/>
              <w:spacing w:before="242" w:line="219" w:lineRule="auto"/>
              <w:ind w:left="60"/>
              <w:jc w:val="center"/>
              <w:rPr>
                <w:sz w:val="17"/>
                <w:szCs w:val="17"/>
              </w:rPr>
            </w:pPr>
            <w:r>
              <w:rPr>
                <w:spacing w:val="-2"/>
                <w:sz w:val="17"/>
                <w:szCs w:val="17"/>
              </w:rPr>
              <w:t>数量指标</w:t>
            </w:r>
          </w:p>
        </w:tc>
        <w:tc>
          <w:tcPr>
            <w:tcW w:w="2757" w:type="dxa"/>
            <w:gridSpan w:val="2"/>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医疗救助对象人次规模</w:t>
            </w:r>
          </w:p>
        </w:tc>
        <w:tc>
          <w:tcPr>
            <w:tcW w:w="1173"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符合救助条件的对象按规定纳入救助范围</w:t>
            </w:r>
          </w:p>
        </w:tc>
        <w:tc>
          <w:tcPr>
            <w:tcW w:w="1712"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符合救助条件的对象按规定纳入救助范围</w:t>
            </w:r>
          </w:p>
        </w:tc>
        <w:tc>
          <w:tcPr>
            <w:tcW w:w="650" w:type="dxa"/>
            <w:vAlign w:val="center"/>
          </w:tcPr>
          <w:p>
            <w:pPr>
              <w:spacing w:line="200" w:lineRule="exact"/>
              <w:jc w:val="center"/>
              <w:rPr>
                <w:rFonts w:hint="default" w:ascii="Arial"/>
                <w:sz w:val="17"/>
                <w:lang w:val="en-US"/>
              </w:rPr>
            </w:pPr>
            <w:r>
              <w:rPr>
                <w:rFonts w:hint="default"/>
                <w:sz w:val="17"/>
                <w:lang w:val="en-US"/>
              </w:rPr>
              <w:t>5</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vMerge w:val="continue"/>
            <w:tcBorders>
              <w:top w:val="nil"/>
              <w:bottom w:val="nil"/>
            </w:tcBorders>
            <w:vAlign w:val="center"/>
          </w:tcPr>
          <w:p>
            <w:pPr>
              <w:jc w:val="center"/>
              <w:rPr>
                <w:rFonts w:ascii="Arial"/>
                <w:sz w:val="21"/>
              </w:rPr>
            </w:pPr>
          </w:p>
        </w:tc>
        <w:tc>
          <w:tcPr>
            <w:tcW w:w="2757" w:type="dxa"/>
            <w:gridSpan w:val="2"/>
            <w:vAlign w:val="center"/>
          </w:tcPr>
          <w:p>
            <w:pPr>
              <w:spacing w:line="230" w:lineRule="exact"/>
              <w:jc w:val="center"/>
              <w:rPr>
                <w:rFonts w:hint="eastAsia" w:ascii="Arial" w:hAnsi="Arial" w:eastAsia="Arial" w:cs="Arial"/>
                <w:snapToGrid w:val="0"/>
                <w:color w:val="000000"/>
                <w:kern w:val="0"/>
                <w:sz w:val="18"/>
                <w:szCs w:val="21"/>
                <w:lang w:val="en-US" w:eastAsia="zh-CN" w:bidi="ar-SA"/>
              </w:rPr>
            </w:pPr>
            <w:r>
              <w:rPr>
                <w:rFonts w:hint="eastAsia" w:ascii="Arial"/>
                <w:sz w:val="20"/>
              </w:rPr>
              <w:t>重点救助对象政策范围内个人自付费用年度限额内住院救助比率</w:t>
            </w:r>
          </w:p>
        </w:tc>
        <w:tc>
          <w:tcPr>
            <w:tcW w:w="1173" w:type="dxa"/>
            <w:vAlign w:val="center"/>
          </w:tcPr>
          <w:p>
            <w:pPr>
              <w:spacing w:line="230" w:lineRule="exact"/>
              <w:jc w:val="center"/>
              <w:rPr>
                <w:rFonts w:hint="eastAsia" w:ascii="Arial" w:hAnsi="Arial" w:eastAsia="Arial" w:cs="Arial"/>
                <w:snapToGrid w:val="0"/>
                <w:color w:val="000000"/>
                <w:kern w:val="0"/>
                <w:sz w:val="18"/>
                <w:szCs w:val="21"/>
                <w:lang w:val="en-US" w:eastAsia="zh-CN" w:bidi="ar-SA"/>
              </w:rPr>
            </w:pPr>
            <w:r>
              <w:rPr>
                <w:rFonts w:hint="eastAsia" w:ascii="Arial"/>
                <w:sz w:val="20"/>
              </w:rPr>
              <w:t>≧60%</w:t>
            </w:r>
          </w:p>
        </w:tc>
        <w:tc>
          <w:tcPr>
            <w:tcW w:w="1712" w:type="dxa"/>
            <w:vAlign w:val="center"/>
          </w:tcPr>
          <w:p>
            <w:pPr>
              <w:spacing w:line="230" w:lineRule="exact"/>
              <w:jc w:val="center"/>
              <w:rPr>
                <w:rFonts w:hint="eastAsia" w:ascii="Arial" w:hAnsi="Arial" w:eastAsia="Arial" w:cs="Arial"/>
                <w:snapToGrid w:val="0"/>
                <w:color w:val="000000"/>
                <w:kern w:val="0"/>
                <w:sz w:val="18"/>
                <w:szCs w:val="21"/>
                <w:lang w:val="en-US" w:eastAsia="zh-CN" w:bidi="ar-SA"/>
              </w:rPr>
            </w:pPr>
            <w:r>
              <w:rPr>
                <w:rFonts w:hint="eastAsia" w:ascii="Arial"/>
                <w:sz w:val="20"/>
              </w:rPr>
              <w:t>≧60%</w:t>
            </w:r>
          </w:p>
        </w:tc>
        <w:tc>
          <w:tcPr>
            <w:tcW w:w="650" w:type="dxa"/>
            <w:vAlign w:val="center"/>
          </w:tcPr>
          <w:p>
            <w:pPr>
              <w:spacing w:line="189" w:lineRule="exact"/>
              <w:jc w:val="center"/>
              <w:rPr>
                <w:rFonts w:hint="default" w:ascii="Arial"/>
                <w:sz w:val="16"/>
                <w:lang w:val="en-US"/>
              </w:rPr>
            </w:pPr>
            <w:r>
              <w:rPr>
                <w:rFonts w:hint="default"/>
                <w:sz w:val="16"/>
                <w:lang w:val="en-US"/>
              </w:rPr>
              <w:t>5</w:t>
            </w:r>
          </w:p>
        </w:tc>
        <w:tc>
          <w:tcPr>
            <w:tcW w:w="738" w:type="dxa"/>
            <w:vAlign w:val="center"/>
          </w:tcPr>
          <w:p>
            <w:pPr>
              <w:spacing w:line="189"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5</w:t>
            </w:r>
          </w:p>
        </w:tc>
        <w:tc>
          <w:tcPr>
            <w:tcW w:w="955" w:type="dxa"/>
            <w:vAlign w:val="top"/>
          </w:tcPr>
          <w:p>
            <w:pPr>
              <w:spacing w:line="189"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vMerge w:val="continue"/>
            <w:tcBorders>
              <w:top w:val="nil"/>
            </w:tcBorders>
            <w:vAlign w:val="center"/>
          </w:tcPr>
          <w:p>
            <w:pPr>
              <w:jc w:val="center"/>
              <w:rPr>
                <w:rFonts w:ascii="Arial"/>
                <w:sz w:val="21"/>
              </w:rPr>
            </w:pPr>
          </w:p>
        </w:tc>
        <w:tc>
          <w:tcPr>
            <w:tcW w:w="2757" w:type="dxa"/>
            <w:gridSpan w:val="2"/>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符合资助条件的农村低收入人口资助参保政策覆盖率</w:t>
            </w:r>
          </w:p>
        </w:tc>
        <w:tc>
          <w:tcPr>
            <w:tcW w:w="1173"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≧99%</w:t>
            </w:r>
          </w:p>
        </w:tc>
        <w:tc>
          <w:tcPr>
            <w:tcW w:w="1712"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≧99%</w:t>
            </w:r>
          </w:p>
        </w:tc>
        <w:tc>
          <w:tcPr>
            <w:tcW w:w="650" w:type="dxa"/>
            <w:vAlign w:val="center"/>
          </w:tcPr>
          <w:p>
            <w:pPr>
              <w:spacing w:line="200" w:lineRule="exact"/>
              <w:jc w:val="center"/>
              <w:rPr>
                <w:rFonts w:hint="default" w:ascii="Arial"/>
                <w:sz w:val="17"/>
                <w:lang w:val="en-US"/>
              </w:rPr>
            </w:pPr>
            <w:r>
              <w:rPr>
                <w:rFonts w:hint="default"/>
                <w:sz w:val="17"/>
                <w:lang w:val="en-US"/>
              </w:rPr>
              <w:t>5</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vMerge w:val="restart"/>
            <w:tcBorders>
              <w:bottom w:val="nil"/>
            </w:tcBorders>
            <w:vAlign w:val="center"/>
          </w:tcPr>
          <w:p>
            <w:pPr>
              <w:pStyle w:val="5"/>
              <w:spacing w:before="234" w:line="220" w:lineRule="auto"/>
              <w:ind w:left="60"/>
              <w:jc w:val="center"/>
              <w:rPr>
                <w:sz w:val="17"/>
                <w:szCs w:val="17"/>
              </w:rPr>
            </w:pPr>
            <w:r>
              <w:rPr>
                <w:spacing w:val="-2"/>
                <w:sz w:val="17"/>
                <w:szCs w:val="17"/>
              </w:rPr>
              <w:t>质量指标</w:t>
            </w:r>
          </w:p>
        </w:tc>
        <w:tc>
          <w:tcPr>
            <w:tcW w:w="2757" w:type="dxa"/>
            <w:gridSpan w:val="2"/>
            <w:vAlign w:val="center"/>
          </w:tcPr>
          <w:p>
            <w:pPr>
              <w:spacing w:line="220" w:lineRule="exact"/>
              <w:jc w:val="center"/>
              <w:rPr>
                <w:rFonts w:hint="eastAsia" w:ascii="Arial" w:hAnsi="Arial" w:eastAsia="Arial" w:cs="Arial"/>
                <w:snapToGrid w:val="0"/>
                <w:color w:val="000000"/>
                <w:kern w:val="0"/>
                <w:sz w:val="18"/>
                <w:szCs w:val="21"/>
                <w:lang w:val="en-US" w:eastAsia="zh-CN" w:bidi="ar-SA"/>
              </w:rPr>
            </w:pPr>
            <w:r>
              <w:rPr>
                <w:rFonts w:hint="eastAsia" w:ascii="Arial"/>
                <w:sz w:val="19"/>
              </w:rPr>
              <w:t>医保综合监管能力</w:t>
            </w:r>
          </w:p>
        </w:tc>
        <w:tc>
          <w:tcPr>
            <w:tcW w:w="1173" w:type="dxa"/>
            <w:vAlign w:val="center"/>
          </w:tcPr>
          <w:p>
            <w:pPr>
              <w:spacing w:line="220" w:lineRule="exact"/>
              <w:jc w:val="center"/>
              <w:rPr>
                <w:rFonts w:hint="eastAsia" w:ascii="Arial" w:hAnsi="Arial" w:eastAsia="Arial" w:cs="Arial"/>
                <w:snapToGrid w:val="0"/>
                <w:color w:val="000000"/>
                <w:kern w:val="0"/>
                <w:sz w:val="18"/>
                <w:szCs w:val="21"/>
                <w:lang w:val="en-US" w:eastAsia="zh-CN" w:bidi="ar-SA"/>
              </w:rPr>
            </w:pPr>
            <w:r>
              <w:rPr>
                <w:rFonts w:hint="eastAsia" w:ascii="Arial"/>
                <w:sz w:val="19"/>
              </w:rPr>
              <w:t>有所提升</w:t>
            </w:r>
          </w:p>
        </w:tc>
        <w:tc>
          <w:tcPr>
            <w:tcW w:w="1712" w:type="dxa"/>
            <w:vAlign w:val="center"/>
          </w:tcPr>
          <w:p>
            <w:pPr>
              <w:numPr>
                <w:ilvl w:val="0"/>
                <w:numId w:val="0"/>
              </w:numPr>
              <w:ind w:firstLine="360" w:firstLineChars="200"/>
              <w:rPr>
                <w:rFonts w:hint="eastAsia" w:ascii="仿宋" w:hAnsi="仿宋" w:eastAsia="仿宋" w:cs="仿宋"/>
                <w:b w:val="0"/>
                <w:bCs/>
                <w:color w:val="000000" w:themeColor="text1"/>
                <w:sz w:val="32"/>
                <w:szCs w:val="32"/>
                <w:lang w:val="en-US" w:eastAsia="zh-CN"/>
                <w14:textFill>
                  <w14:solidFill>
                    <w14:schemeClr w14:val="tx1"/>
                  </w14:solidFill>
                </w14:textFill>
              </w:rPr>
            </w:pPr>
            <w:r>
              <w:rPr>
                <w:rFonts w:hint="eastAsia" w:ascii="Arial"/>
                <w:sz w:val="18"/>
                <w:lang w:val="en-US" w:eastAsia="zh-CN"/>
              </w:rPr>
              <w:t>按经办流程审核、审批，拨付，严格执行基金财务会计内控制度。并对疑点、大额报销金额实时监控。</w:t>
            </w:r>
          </w:p>
          <w:p>
            <w:pPr>
              <w:spacing w:line="220" w:lineRule="exact"/>
              <w:jc w:val="center"/>
              <w:rPr>
                <w:rFonts w:hint="eastAsia" w:ascii="Arial" w:hAnsi="Arial" w:eastAsia="Arial" w:cs="Arial"/>
                <w:snapToGrid w:val="0"/>
                <w:color w:val="000000"/>
                <w:kern w:val="0"/>
                <w:sz w:val="18"/>
                <w:szCs w:val="21"/>
                <w:lang w:val="en-US" w:eastAsia="zh-CN" w:bidi="ar-SA"/>
              </w:rPr>
            </w:pPr>
          </w:p>
        </w:tc>
        <w:tc>
          <w:tcPr>
            <w:tcW w:w="650" w:type="dxa"/>
            <w:vAlign w:val="center"/>
          </w:tcPr>
          <w:p>
            <w:pPr>
              <w:spacing w:line="180" w:lineRule="exact"/>
              <w:jc w:val="center"/>
              <w:rPr>
                <w:rFonts w:hint="default" w:ascii="Arial"/>
                <w:sz w:val="15"/>
                <w:lang w:val="en-US"/>
              </w:rPr>
            </w:pPr>
            <w:r>
              <w:rPr>
                <w:rFonts w:hint="default"/>
                <w:sz w:val="15"/>
                <w:lang w:val="en-US"/>
              </w:rPr>
              <w:t>5</w:t>
            </w:r>
          </w:p>
        </w:tc>
        <w:tc>
          <w:tcPr>
            <w:tcW w:w="738" w:type="dxa"/>
            <w:vAlign w:val="center"/>
          </w:tcPr>
          <w:p>
            <w:pPr>
              <w:spacing w:line="180" w:lineRule="exact"/>
              <w:jc w:val="center"/>
              <w:rPr>
                <w:rFonts w:hint="default" w:ascii="Arial" w:hAnsi="Arial" w:eastAsia="Arial" w:cs="Arial"/>
                <w:snapToGrid w:val="0"/>
                <w:color w:val="000000"/>
                <w:kern w:val="0"/>
                <w:sz w:val="15"/>
                <w:szCs w:val="21"/>
                <w:lang w:val="en-US" w:eastAsia="en-US" w:bidi="ar-SA"/>
              </w:rPr>
            </w:pPr>
            <w:r>
              <w:rPr>
                <w:rFonts w:hint="default"/>
                <w:sz w:val="15"/>
                <w:lang w:val="en-US"/>
              </w:rPr>
              <w:t>5</w:t>
            </w:r>
          </w:p>
        </w:tc>
        <w:tc>
          <w:tcPr>
            <w:tcW w:w="955" w:type="dxa"/>
            <w:vAlign w:val="top"/>
          </w:tcPr>
          <w:p>
            <w:pPr>
              <w:spacing w:line="180" w:lineRule="exact"/>
              <w:rPr>
                <w:rFonts w:ascii="Arial"/>
                <w:sz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vMerge w:val="continue"/>
            <w:tcBorders>
              <w:top w:val="nil"/>
              <w:bottom w:val="nil"/>
            </w:tcBorders>
            <w:vAlign w:val="center"/>
          </w:tcPr>
          <w:p>
            <w:pPr>
              <w:jc w:val="center"/>
              <w:rPr>
                <w:rFonts w:ascii="Arial"/>
                <w:sz w:val="21"/>
              </w:rPr>
            </w:pPr>
          </w:p>
        </w:tc>
        <w:tc>
          <w:tcPr>
            <w:tcW w:w="2757" w:type="dxa"/>
            <w:gridSpan w:val="2"/>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市“一站式”即时结算覆盖率</w:t>
            </w:r>
          </w:p>
        </w:tc>
        <w:tc>
          <w:tcPr>
            <w:tcW w:w="1173"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rPr>
              <w:t>不低于上年</w:t>
            </w:r>
          </w:p>
        </w:tc>
        <w:tc>
          <w:tcPr>
            <w:tcW w:w="1712" w:type="dxa"/>
            <w:vAlign w:val="center"/>
          </w:tcPr>
          <w:p>
            <w:pPr>
              <w:numPr>
                <w:ilvl w:val="0"/>
                <w:numId w:val="0"/>
              </w:numPr>
              <w:ind w:firstLine="360" w:firstLineChars="200"/>
              <w:rPr>
                <w:rFonts w:hint="eastAsia" w:ascii="Arial"/>
                <w:sz w:val="18"/>
                <w:lang w:val="en-US" w:eastAsia="zh-CN"/>
              </w:rPr>
            </w:pPr>
            <w:r>
              <w:rPr>
                <w:rFonts w:hint="eastAsia" w:ascii="Arial"/>
                <w:sz w:val="18"/>
                <w:lang w:val="en-US" w:eastAsia="zh-CN"/>
              </w:rPr>
              <w:t>2023年，参保人员可在就诊医院一站式结算，即出院时直接在医院的结算窗口办理完所有报销手续，覆盖地区不低于上年。</w:t>
            </w:r>
          </w:p>
          <w:p>
            <w:pPr>
              <w:spacing w:line="210" w:lineRule="exact"/>
              <w:jc w:val="center"/>
              <w:rPr>
                <w:rFonts w:hint="eastAsia" w:ascii="Arial" w:hAnsi="Arial" w:eastAsia="Arial" w:cs="Arial"/>
                <w:snapToGrid w:val="0"/>
                <w:color w:val="000000"/>
                <w:kern w:val="0"/>
                <w:sz w:val="18"/>
                <w:szCs w:val="21"/>
                <w:lang w:val="en-US" w:eastAsia="zh-CN" w:bidi="ar-SA"/>
              </w:rPr>
            </w:pPr>
          </w:p>
        </w:tc>
        <w:tc>
          <w:tcPr>
            <w:tcW w:w="650" w:type="dxa"/>
            <w:vAlign w:val="center"/>
          </w:tcPr>
          <w:p>
            <w:pPr>
              <w:spacing w:line="200" w:lineRule="exact"/>
              <w:jc w:val="center"/>
              <w:rPr>
                <w:rFonts w:hint="default" w:ascii="Arial"/>
                <w:sz w:val="17"/>
                <w:lang w:val="en-US"/>
              </w:rPr>
            </w:pPr>
            <w:r>
              <w:rPr>
                <w:rFonts w:hint="default"/>
                <w:sz w:val="17"/>
                <w:lang w:val="en-US"/>
              </w:rPr>
              <w:t>5</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5</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tcBorders>
              <w:bottom w:val="nil"/>
            </w:tcBorders>
            <w:vAlign w:val="center"/>
          </w:tcPr>
          <w:p>
            <w:pPr>
              <w:pStyle w:val="5"/>
              <w:spacing w:before="234" w:line="220" w:lineRule="auto"/>
              <w:ind w:left="60"/>
              <w:jc w:val="center"/>
              <w:rPr>
                <w:sz w:val="17"/>
                <w:szCs w:val="17"/>
              </w:rPr>
            </w:pPr>
            <w:r>
              <w:rPr>
                <w:spacing w:val="1"/>
                <w:sz w:val="17"/>
                <w:szCs w:val="17"/>
              </w:rPr>
              <w:t>时效指标</w:t>
            </w:r>
          </w:p>
        </w:tc>
        <w:tc>
          <w:tcPr>
            <w:tcW w:w="2757" w:type="dxa"/>
            <w:gridSpan w:val="2"/>
            <w:vAlign w:val="center"/>
          </w:tcPr>
          <w:p>
            <w:pPr>
              <w:spacing w:line="220" w:lineRule="exact"/>
              <w:jc w:val="center"/>
              <w:rPr>
                <w:rFonts w:hint="default" w:ascii="Arial" w:hAnsi="Arial" w:eastAsia="Arial" w:cs="Arial"/>
                <w:snapToGrid w:val="0"/>
                <w:color w:val="000000"/>
                <w:kern w:val="0"/>
                <w:sz w:val="18"/>
                <w:szCs w:val="21"/>
                <w:lang w:val="en-US" w:eastAsia="zh-CN" w:bidi="ar-SA"/>
              </w:rPr>
            </w:pPr>
            <w:r>
              <w:rPr>
                <w:rFonts w:hint="eastAsia"/>
                <w:sz w:val="19"/>
                <w:lang w:val="en-US" w:eastAsia="zh-CN"/>
              </w:rPr>
              <w:t>项目开展周期</w:t>
            </w:r>
          </w:p>
        </w:tc>
        <w:tc>
          <w:tcPr>
            <w:tcW w:w="1173" w:type="dxa"/>
            <w:vAlign w:val="center"/>
          </w:tcPr>
          <w:p>
            <w:pPr>
              <w:spacing w:line="220" w:lineRule="exact"/>
              <w:jc w:val="center"/>
              <w:rPr>
                <w:rFonts w:hint="default" w:ascii="Arial" w:hAnsi="Arial" w:eastAsia="Arial" w:cs="Arial"/>
                <w:snapToGrid w:val="0"/>
                <w:color w:val="000000"/>
                <w:kern w:val="0"/>
                <w:sz w:val="18"/>
                <w:szCs w:val="21"/>
                <w:lang w:val="en-US" w:eastAsia="zh-CN" w:bidi="ar-SA"/>
              </w:rPr>
            </w:pPr>
            <w:r>
              <w:rPr>
                <w:rFonts w:hint="eastAsia"/>
                <w:sz w:val="19"/>
                <w:lang w:val="en-US" w:eastAsia="zh-CN"/>
              </w:rPr>
              <w:t>一年</w:t>
            </w:r>
          </w:p>
        </w:tc>
        <w:tc>
          <w:tcPr>
            <w:tcW w:w="1712" w:type="dxa"/>
            <w:vAlign w:val="center"/>
          </w:tcPr>
          <w:p>
            <w:pPr>
              <w:spacing w:line="220" w:lineRule="exact"/>
              <w:jc w:val="center"/>
              <w:rPr>
                <w:rFonts w:hint="default" w:ascii="Arial" w:hAnsi="Arial" w:eastAsia="Arial" w:cs="Arial"/>
                <w:snapToGrid w:val="0"/>
                <w:color w:val="000000"/>
                <w:kern w:val="0"/>
                <w:sz w:val="18"/>
                <w:szCs w:val="21"/>
                <w:lang w:val="en-US" w:eastAsia="zh-CN" w:bidi="ar-SA"/>
              </w:rPr>
            </w:pPr>
            <w:r>
              <w:rPr>
                <w:rFonts w:hint="eastAsia"/>
                <w:sz w:val="19"/>
                <w:lang w:val="en-US" w:eastAsia="zh-CN"/>
              </w:rPr>
              <w:t>一年</w:t>
            </w:r>
          </w:p>
        </w:tc>
        <w:tc>
          <w:tcPr>
            <w:tcW w:w="650" w:type="dxa"/>
            <w:vAlign w:val="center"/>
          </w:tcPr>
          <w:p>
            <w:pPr>
              <w:spacing w:line="200" w:lineRule="exact"/>
              <w:jc w:val="center"/>
              <w:rPr>
                <w:rFonts w:hint="default" w:ascii="Arial"/>
                <w:sz w:val="17"/>
                <w:lang w:val="en-US"/>
              </w:rPr>
            </w:pPr>
            <w:r>
              <w:rPr>
                <w:rFonts w:hint="default"/>
                <w:sz w:val="17"/>
                <w:lang w:val="en-US"/>
              </w:rPr>
              <w:t>2</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2</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center"/>
          </w:tcPr>
          <w:p>
            <w:pPr>
              <w:jc w:val="center"/>
              <w:rPr>
                <w:rFonts w:ascii="Arial"/>
                <w:sz w:val="21"/>
              </w:rPr>
            </w:pPr>
          </w:p>
        </w:tc>
        <w:tc>
          <w:tcPr>
            <w:tcW w:w="819" w:type="dxa"/>
            <w:tcBorders>
              <w:bottom w:val="nil"/>
            </w:tcBorders>
            <w:vAlign w:val="center"/>
          </w:tcPr>
          <w:p>
            <w:pPr>
              <w:pStyle w:val="5"/>
              <w:spacing w:before="243" w:line="219" w:lineRule="auto"/>
              <w:ind w:left="60"/>
              <w:jc w:val="center"/>
              <w:rPr>
                <w:sz w:val="17"/>
                <w:szCs w:val="17"/>
              </w:rPr>
            </w:pPr>
            <w:r>
              <w:rPr>
                <w:spacing w:val="-2"/>
                <w:sz w:val="17"/>
                <w:szCs w:val="17"/>
              </w:rPr>
              <w:t>成本指标</w:t>
            </w:r>
          </w:p>
        </w:tc>
        <w:tc>
          <w:tcPr>
            <w:tcW w:w="2757" w:type="dxa"/>
            <w:gridSpan w:val="2"/>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sz w:val="18"/>
                <w:lang w:val="en-US" w:eastAsia="zh-CN"/>
              </w:rPr>
              <w:t>项目所用成本</w:t>
            </w:r>
          </w:p>
        </w:tc>
        <w:tc>
          <w:tcPr>
            <w:tcW w:w="1173" w:type="dxa"/>
            <w:vAlign w:val="center"/>
          </w:tcPr>
          <w:p>
            <w:pPr>
              <w:spacing w:line="210" w:lineRule="exact"/>
              <w:jc w:val="center"/>
              <w:rPr>
                <w:rFonts w:hint="default" w:ascii="Arial" w:hAnsi="Arial" w:eastAsia="Arial" w:cs="Arial"/>
                <w:snapToGrid w:val="0"/>
                <w:color w:val="000000"/>
                <w:kern w:val="0"/>
                <w:sz w:val="18"/>
                <w:szCs w:val="21"/>
                <w:lang w:val="en-US" w:eastAsia="zh-CN" w:bidi="ar-SA"/>
              </w:rPr>
            </w:pPr>
            <w:r>
              <w:rPr>
                <w:rFonts w:hint="eastAsia" w:ascii="宋体" w:hAnsi="宋体" w:eastAsia="宋体" w:cs="宋体"/>
                <w:sz w:val="18"/>
              </w:rPr>
              <w:t>≦</w:t>
            </w:r>
            <w:r>
              <w:rPr>
                <w:rFonts w:hint="default"/>
                <w:sz w:val="18"/>
                <w:lang w:val="en-US"/>
              </w:rPr>
              <w:t>122</w:t>
            </w:r>
            <w:r>
              <w:rPr>
                <w:rFonts w:hint="eastAsia"/>
                <w:sz w:val="18"/>
                <w:lang w:val="en-US" w:eastAsia="zh-CN"/>
              </w:rPr>
              <w:t>万元</w:t>
            </w:r>
          </w:p>
        </w:tc>
        <w:tc>
          <w:tcPr>
            <w:tcW w:w="1712" w:type="dxa"/>
            <w:vAlign w:val="center"/>
          </w:tcPr>
          <w:p>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宋体" w:hAnsi="宋体" w:eastAsia="宋体" w:cs="宋体"/>
                <w:sz w:val="18"/>
              </w:rPr>
              <w:t>≦</w:t>
            </w:r>
            <w:r>
              <w:rPr>
                <w:rFonts w:hint="default"/>
                <w:sz w:val="18"/>
                <w:lang w:val="en-US"/>
              </w:rPr>
              <w:t>122</w:t>
            </w:r>
            <w:r>
              <w:rPr>
                <w:rFonts w:hint="eastAsia"/>
                <w:sz w:val="18"/>
                <w:lang w:val="en-US" w:eastAsia="zh-CN"/>
              </w:rPr>
              <w:t>万元</w:t>
            </w:r>
          </w:p>
        </w:tc>
        <w:tc>
          <w:tcPr>
            <w:tcW w:w="650" w:type="dxa"/>
            <w:vAlign w:val="center"/>
          </w:tcPr>
          <w:p>
            <w:pPr>
              <w:spacing w:line="200" w:lineRule="exact"/>
              <w:jc w:val="center"/>
              <w:rPr>
                <w:rFonts w:hint="default" w:ascii="Arial"/>
                <w:sz w:val="17"/>
                <w:lang w:val="en-US"/>
              </w:rPr>
            </w:pPr>
            <w:r>
              <w:rPr>
                <w:rFonts w:hint="default"/>
                <w:sz w:val="17"/>
                <w:lang w:val="en-US"/>
              </w:rPr>
              <w:t>3</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3</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405" w:type="dxa"/>
            <w:vMerge w:val="continue"/>
            <w:tcBorders>
              <w:top w:val="nil"/>
              <w:bottom w:val="nil"/>
            </w:tcBorders>
            <w:textDirection w:val="tbRlV"/>
            <w:vAlign w:val="top"/>
          </w:tcPr>
          <w:p>
            <w:pPr>
              <w:rPr>
                <w:rFonts w:ascii="Arial"/>
                <w:sz w:val="21"/>
              </w:rPr>
            </w:pPr>
          </w:p>
        </w:tc>
        <w:tc>
          <w:tcPr>
            <w:tcW w:w="400" w:type="dxa"/>
            <w:vMerge w:val="restart"/>
            <w:textDirection w:val="tbRlV"/>
            <w:vAlign w:val="center"/>
          </w:tcPr>
          <w:p>
            <w:pPr>
              <w:jc w:val="center"/>
              <w:rPr>
                <w:rFonts w:hint="eastAsia" w:ascii="Arial" w:eastAsia="宋体"/>
                <w:sz w:val="21"/>
                <w:lang w:val="en-US" w:eastAsia="zh-CN"/>
              </w:rPr>
            </w:pPr>
            <w:r>
              <w:rPr>
                <w:rFonts w:hint="eastAsia"/>
                <w:sz w:val="21"/>
                <w:lang w:val="en-US" w:eastAsia="zh-CN"/>
              </w:rPr>
              <w:t>效益指标</w:t>
            </w:r>
          </w:p>
        </w:tc>
        <w:tc>
          <w:tcPr>
            <w:tcW w:w="819" w:type="dxa"/>
            <w:vMerge w:val="restart"/>
            <w:tcBorders>
              <w:bottom w:val="nil"/>
            </w:tcBorders>
            <w:vAlign w:val="center"/>
          </w:tcPr>
          <w:p>
            <w:pPr>
              <w:pStyle w:val="5"/>
              <w:spacing w:before="135" w:line="219" w:lineRule="auto"/>
              <w:ind w:left="229" w:right="76" w:hanging="169"/>
              <w:jc w:val="center"/>
              <w:rPr>
                <w:sz w:val="17"/>
                <w:szCs w:val="17"/>
              </w:rPr>
            </w:pPr>
            <w:r>
              <w:rPr>
                <w:spacing w:val="-2"/>
                <w:sz w:val="17"/>
                <w:szCs w:val="17"/>
              </w:rPr>
              <w:t>社会效益</w:t>
            </w:r>
            <w:r>
              <w:rPr>
                <w:sz w:val="17"/>
                <w:szCs w:val="17"/>
              </w:rPr>
              <w:t xml:space="preserve"> </w:t>
            </w:r>
            <w:r>
              <w:rPr>
                <w:spacing w:val="-3"/>
                <w:sz w:val="17"/>
                <w:szCs w:val="17"/>
              </w:rPr>
              <w:t>指标</w:t>
            </w:r>
          </w:p>
        </w:tc>
        <w:tc>
          <w:tcPr>
            <w:tcW w:w="2757" w:type="dxa"/>
            <w:gridSpan w:val="2"/>
            <w:vAlign w:val="center"/>
          </w:tcPr>
          <w:p>
            <w:pPr>
              <w:spacing w:line="220" w:lineRule="exact"/>
              <w:jc w:val="center"/>
              <w:rPr>
                <w:rFonts w:ascii="Arial" w:hAnsi="Arial" w:eastAsia="Arial" w:cs="Arial"/>
                <w:snapToGrid w:val="0"/>
                <w:color w:val="000000"/>
                <w:kern w:val="0"/>
                <w:sz w:val="19"/>
                <w:szCs w:val="21"/>
                <w:lang w:val="en-US" w:eastAsia="en-US" w:bidi="ar-SA"/>
              </w:rPr>
            </w:pPr>
            <w:r>
              <w:rPr>
                <w:rFonts w:hint="eastAsia" w:ascii="Arial"/>
                <w:sz w:val="19"/>
              </w:rPr>
              <w:t>城乡医疗救助政策知晓率</w:t>
            </w:r>
          </w:p>
        </w:tc>
        <w:tc>
          <w:tcPr>
            <w:tcW w:w="1173" w:type="dxa"/>
            <w:vAlign w:val="center"/>
          </w:tcPr>
          <w:p>
            <w:pPr>
              <w:spacing w:line="220" w:lineRule="exact"/>
              <w:jc w:val="center"/>
              <w:rPr>
                <w:rFonts w:ascii="Arial" w:hAnsi="Arial" w:eastAsia="Arial" w:cs="Arial"/>
                <w:snapToGrid w:val="0"/>
                <w:color w:val="000000"/>
                <w:kern w:val="0"/>
                <w:sz w:val="19"/>
                <w:szCs w:val="21"/>
                <w:lang w:val="en-US" w:eastAsia="en-US" w:bidi="ar-SA"/>
              </w:rPr>
            </w:pPr>
            <w:r>
              <w:rPr>
                <w:rFonts w:hint="eastAsia" w:ascii="Arial"/>
                <w:sz w:val="19"/>
              </w:rPr>
              <w:t>≧80%</w:t>
            </w:r>
          </w:p>
        </w:tc>
        <w:tc>
          <w:tcPr>
            <w:tcW w:w="1712" w:type="dxa"/>
            <w:vAlign w:val="center"/>
          </w:tcPr>
          <w:p>
            <w:pPr>
              <w:spacing w:line="220" w:lineRule="exact"/>
              <w:jc w:val="center"/>
              <w:rPr>
                <w:rFonts w:ascii="Arial" w:hAnsi="Arial" w:eastAsia="Arial" w:cs="Arial"/>
                <w:snapToGrid w:val="0"/>
                <w:color w:val="000000"/>
                <w:kern w:val="0"/>
                <w:sz w:val="19"/>
                <w:szCs w:val="21"/>
                <w:lang w:val="en-US" w:eastAsia="en-US" w:bidi="ar-SA"/>
              </w:rPr>
            </w:pPr>
            <w:r>
              <w:rPr>
                <w:rFonts w:hint="default"/>
                <w:sz w:val="18"/>
                <w:lang w:val="en-US" w:eastAsia="zh-CN"/>
              </w:rPr>
              <w:t xml:space="preserve">  </w:t>
            </w:r>
            <w:r>
              <w:rPr>
                <w:rFonts w:hint="eastAsia" w:ascii="Arial"/>
                <w:sz w:val="18"/>
                <w:lang w:val="en-US" w:eastAsia="zh-CN"/>
              </w:rPr>
              <w:t>通过政策宣传，保障医疗救助工作的持续开展和顺利进行，医疗救助对象政策知晓率达到80%以上。</w:t>
            </w:r>
          </w:p>
        </w:tc>
        <w:tc>
          <w:tcPr>
            <w:tcW w:w="650" w:type="dxa"/>
            <w:vAlign w:val="center"/>
          </w:tcPr>
          <w:p>
            <w:pPr>
              <w:spacing w:line="190" w:lineRule="exact"/>
              <w:jc w:val="center"/>
              <w:rPr>
                <w:rFonts w:hint="default" w:ascii="Arial"/>
                <w:sz w:val="16"/>
                <w:lang w:val="en-US"/>
              </w:rPr>
            </w:pPr>
            <w:r>
              <w:rPr>
                <w:rFonts w:hint="default"/>
                <w:sz w:val="16"/>
                <w:lang w:val="en-US"/>
              </w:rPr>
              <w:t>3</w:t>
            </w:r>
          </w:p>
        </w:tc>
        <w:tc>
          <w:tcPr>
            <w:tcW w:w="738"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3</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top"/>
          </w:tcPr>
          <w:p>
            <w:pPr>
              <w:rPr>
                <w:rFonts w:ascii="Arial"/>
                <w:sz w:val="21"/>
              </w:rPr>
            </w:pPr>
          </w:p>
        </w:tc>
        <w:tc>
          <w:tcPr>
            <w:tcW w:w="819" w:type="dxa"/>
            <w:vMerge w:val="continue"/>
            <w:tcBorders>
              <w:top w:val="nil"/>
              <w:bottom w:val="nil"/>
            </w:tcBorders>
            <w:vAlign w:val="top"/>
          </w:tcPr>
          <w:p>
            <w:pPr>
              <w:rPr>
                <w:rFonts w:ascii="Arial"/>
                <w:sz w:val="21"/>
              </w:rPr>
            </w:pPr>
          </w:p>
        </w:tc>
        <w:tc>
          <w:tcPr>
            <w:tcW w:w="2757" w:type="dxa"/>
            <w:gridSpan w:val="2"/>
            <w:vAlign w:val="center"/>
          </w:tcPr>
          <w:p>
            <w:pPr>
              <w:spacing w:line="200" w:lineRule="exact"/>
              <w:jc w:val="center"/>
              <w:rPr>
                <w:rFonts w:ascii="Arial" w:hAnsi="Arial" w:eastAsia="Arial" w:cs="Arial"/>
                <w:snapToGrid w:val="0"/>
                <w:color w:val="000000"/>
                <w:kern w:val="0"/>
                <w:sz w:val="17"/>
                <w:szCs w:val="21"/>
                <w:lang w:val="en-US" w:eastAsia="en-US" w:bidi="ar-SA"/>
              </w:rPr>
            </w:pPr>
            <w:r>
              <w:rPr>
                <w:rFonts w:hint="eastAsia" w:ascii="Arial"/>
                <w:sz w:val="17"/>
              </w:rPr>
              <w:t>困难群众看病就医方便程度</w:t>
            </w:r>
          </w:p>
        </w:tc>
        <w:tc>
          <w:tcPr>
            <w:tcW w:w="1173" w:type="dxa"/>
            <w:vAlign w:val="center"/>
          </w:tcPr>
          <w:p>
            <w:pPr>
              <w:spacing w:line="200" w:lineRule="exact"/>
              <w:jc w:val="center"/>
              <w:rPr>
                <w:rFonts w:ascii="Arial" w:hAnsi="Arial" w:eastAsia="Arial" w:cs="Arial"/>
                <w:snapToGrid w:val="0"/>
                <w:color w:val="000000"/>
                <w:kern w:val="0"/>
                <w:sz w:val="17"/>
                <w:szCs w:val="21"/>
                <w:lang w:val="en-US" w:eastAsia="en-US" w:bidi="ar-SA"/>
              </w:rPr>
            </w:pPr>
            <w:r>
              <w:rPr>
                <w:rFonts w:hint="eastAsia" w:ascii="Arial"/>
                <w:sz w:val="17"/>
              </w:rPr>
              <w:t>明显提高</w:t>
            </w:r>
          </w:p>
        </w:tc>
        <w:tc>
          <w:tcPr>
            <w:tcW w:w="1712" w:type="dxa"/>
            <w:vAlign w:val="center"/>
          </w:tcPr>
          <w:p>
            <w:pPr>
              <w:spacing w:line="220" w:lineRule="exact"/>
              <w:jc w:val="center"/>
              <w:rPr>
                <w:rFonts w:ascii="Arial" w:hAnsi="Arial" w:eastAsia="Arial" w:cs="Arial"/>
                <w:snapToGrid w:val="0"/>
                <w:color w:val="000000"/>
                <w:kern w:val="0"/>
                <w:sz w:val="17"/>
                <w:szCs w:val="21"/>
                <w:lang w:val="en-US" w:eastAsia="en-US" w:bidi="ar-SA"/>
              </w:rPr>
            </w:pPr>
            <w:r>
              <w:rPr>
                <w:rFonts w:hint="default"/>
                <w:sz w:val="18"/>
                <w:lang w:val="en-US" w:eastAsia="zh-CN"/>
              </w:rPr>
              <w:t xml:space="preserve">  </w:t>
            </w:r>
            <w:r>
              <w:rPr>
                <w:rFonts w:hint="eastAsia" w:ascii="Arial"/>
                <w:sz w:val="18"/>
                <w:lang w:val="en-US" w:eastAsia="zh-CN"/>
              </w:rPr>
              <w:t>通过落实基本医保、大病保险、医疗救助“一站式”结算措施，困难群众就医方便程度明显提高</w:t>
            </w:r>
          </w:p>
        </w:tc>
        <w:tc>
          <w:tcPr>
            <w:tcW w:w="650" w:type="dxa"/>
            <w:vAlign w:val="center"/>
          </w:tcPr>
          <w:p>
            <w:pPr>
              <w:spacing w:line="189" w:lineRule="exact"/>
              <w:jc w:val="center"/>
              <w:rPr>
                <w:rFonts w:hint="default" w:ascii="Arial"/>
                <w:sz w:val="16"/>
                <w:lang w:val="en-US"/>
              </w:rPr>
            </w:pPr>
            <w:r>
              <w:rPr>
                <w:rFonts w:hint="default"/>
                <w:sz w:val="16"/>
                <w:lang w:val="en-US"/>
              </w:rPr>
              <w:t>3</w:t>
            </w:r>
          </w:p>
        </w:tc>
        <w:tc>
          <w:tcPr>
            <w:tcW w:w="738" w:type="dxa"/>
            <w:vAlign w:val="center"/>
          </w:tcPr>
          <w:p>
            <w:pPr>
              <w:spacing w:line="189"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3</w:t>
            </w:r>
          </w:p>
        </w:tc>
        <w:tc>
          <w:tcPr>
            <w:tcW w:w="955" w:type="dxa"/>
            <w:vAlign w:val="top"/>
          </w:tcPr>
          <w:p>
            <w:pPr>
              <w:spacing w:line="189"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top"/>
          </w:tcPr>
          <w:p>
            <w:pPr>
              <w:rPr>
                <w:rFonts w:ascii="Arial"/>
                <w:sz w:val="21"/>
              </w:rPr>
            </w:pPr>
          </w:p>
        </w:tc>
        <w:tc>
          <w:tcPr>
            <w:tcW w:w="819" w:type="dxa"/>
            <w:vMerge w:val="continue"/>
            <w:tcBorders>
              <w:top w:val="nil"/>
            </w:tcBorders>
            <w:vAlign w:val="top"/>
          </w:tcPr>
          <w:p>
            <w:pPr>
              <w:rPr>
                <w:rFonts w:ascii="Arial"/>
                <w:sz w:val="21"/>
              </w:rPr>
            </w:pPr>
          </w:p>
        </w:tc>
        <w:tc>
          <w:tcPr>
            <w:tcW w:w="2757" w:type="dxa"/>
            <w:gridSpan w:val="2"/>
            <w:vAlign w:val="center"/>
          </w:tcPr>
          <w:p>
            <w:pPr>
              <w:spacing w:line="210" w:lineRule="exact"/>
              <w:jc w:val="center"/>
              <w:rPr>
                <w:rFonts w:ascii="Arial" w:hAnsi="Arial" w:eastAsia="Arial" w:cs="Arial"/>
                <w:snapToGrid w:val="0"/>
                <w:color w:val="000000"/>
                <w:kern w:val="0"/>
                <w:sz w:val="18"/>
                <w:szCs w:val="21"/>
                <w:lang w:val="en-US" w:eastAsia="en-US" w:bidi="ar-SA"/>
              </w:rPr>
            </w:pPr>
            <w:r>
              <w:rPr>
                <w:rFonts w:hint="eastAsia" w:ascii="Arial"/>
                <w:sz w:val="18"/>
              </w:rPr>
              <w:t>困难群众医疗费用负担减轻程度</w:t>
            </w:r>
          </w:p>
        </w:tc>
        <w:tc>
          <w:tcPr>
            <w:tcW w:w="1173" w:type="dxa"/>
            <w:vAlign w:val="center"/>
          </w:tcPr>
          <w:p>
            <w:pPr>
              <w:spacing w:line="210" w:lineRule="exact"/>
              <w:jc w:val="center"/>
              <w:rPr>
                <w:rFonts w:hint="default" w:ascii="Arial" w:hAnsi="Arial" w:eastAsia="宋体" w:cs="Arial"/>
                <w:snapToGrid w:val="0"/>
                <w:color w:val="000000"/>
                <w:kern w:val="0"/>
                <w:sz w:val="18"/>
                <w:szCs w:val="21"/>
                <w:lang w:val="en-US" w:eastAsia="zh-CN" w:bidi="ar-SA"/>
              </w:rPr>
            </w:pPr>
            <w:r>
              <w:rPr>
                <w:rFonts w:hint="eastAsia" w:ascii="Arial"/>
                <w:sz w:val="18"/>
              </w:rPr>
              <w:t>有效缓解</w:t>
            </w:r>
          </w:p>
        </w:tc>
        <w:tc>
          <w:tcPr>
            <w:tcW w:w="1712" w:type="dxa"/>
            <w:vAlign w:val="center"/>
          </w:tcPr>
          <w:p>
            <w:pPr>
              <w:spacing w:line="220" w:lineRule="exact"/>
              <w:jc w:val="center"/>
              <w:rPr>
                <w:rFonts w:hint="eastAsia" w:ascii="Arial"/>
                <w:sz w:val="18"/>
                <w:lang w:val="en-US" w:eastAsia="zh-CN"/>
              </w:rPr>
            </w:pPr>
            <w:r>
              <w:rPr>
                <w:rFonts w:hint="default"/>
                <w:sz w:val="18"/>
                <w:lang w:val="en-US" w:eastAsia="zh-CN"/>
              </w:rPr>
              <w:t xml:space="preserve">  </w:t>
            </w:r>
            <w:r>
              <w:rPr>
                <w:rFonts w:hint="eastAsia" w:ascii="Arial"/>
                <w:sz w:val="18"/>
                <w:lang w:val="en-US" w:eastAsia="zh-CN"/>
              </w:rPr>
              <w:t>通过落实基本医保、</w:t>
            </w:r>
            <w:r>
              <w:rPr>
                <w:rFonts w:hint="default"/>
                <w:sz w:val="18"/>
                <w:lang w:val="en-US" w:eastAsia="zh-CN"/>
              </w:rPr>
              <w:t xml:space="preserve"> </w:t>
            </w:r>
            <w:r>
              <w:rPr>
                <w:rFonts w:hint="eastAsia" w:ascii="Arial"/>
                <w:sz w:val="18"/>
                <w:lang w:val="en-US" w:eastAsia="zh-CN"/>
              </w:rPr>
              <w:t>大病保险、医疗救助“一站式”结算措施，</w:t>
            </w:r>
          </w:p>
          <w:p>
            <w:pPr>
              <w:spacing w:line="220" w:lineRule="exact"/>
              <w:jc w:val="center"/>
              <w:rPr>
                <w:rFonts w:hint="eastAsia" w:ascii="Arial"/>
                <w:sz w:val="18"/>
                <w:lang w:val="en-US" w:eastAsia="zh-CN"/>
              </w:rPr>
            </w:pPr>
            <w:r>
              <w:rPr>
                <w:rFonts w:hint="eastAsia" w:ascii="Arial"/>
                <w:sz w:val="18"/>
                <w:lang w:val="en-US" w:eastAsia="zh-CN"/>
              </w:rPr>
              <w:t>困难人群就医负担得到有效缓解。</w:t>
            </w:r>
          </w:p>
          <w:p>
            <w:pPr>
              <w:spacing w:line="220" w:lineRule="exact"/>
              <w:jc w:val="center"/>
              <w:rPr>
                <w:rFonts w:ascii="Arial" w:hAnsi="Arial" w:eastAsia="Arial" w:cs="Arial"/>
                <w:snapToGrid w:val="0"/>
                <w:color w:val="000000"/>
                <w:kern w:val="0"/>
                <w:sz w:val="18"/>
                <w:szCs w:val="21"/>
                <w:lang w:val="en-US" w:eastAsia="en-US" w:bidi="ar-SA"/>
              </w:rPr>
            </w:pPr>
          </w:p>
        </w:tc>
        <w:tc>
          <w:tcPr>
            <w:tcW w:w="650" w:type="dxa"/>
            <w:vAlign w:val="center"/>
          </w:tcPr>
          <w:p>
            <w:pPr>
              <w:spacing w:line="200" w:lineRule="exact"/>
              <w:jc w:val="center"/>
              <w:rPr>
                <w:rFonts w:hint="default" w:ascii="Arial"/>
                <w:sz w:val="17"/>
                <w:lang w:val="en-US"/>
              </w:rPr>
            </w:pPr>
            <w:r>
              <w:rPr>
                <w:rFonts w:hint="default"/>
                <w:sz w:val="17"/>
                <w:lang w:val="en-US"/>
              </w:rPr>
              <w:t>3</w:t>
            </w:r>
          </w:p>
        </w:tc>
        <w:tc>
          <w:tcPr>
            <w:tcW w:w="738" w:type="dxa"/>
            <w:vAlign w:val="center"/>
          </w:tcPr>
          <w:p>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3</w:t>
            </w:r>
          </w:p>
        </w:tc>
        <w:tc>
          <w:tcPr>
            <w:tcW w:w="955" w:type="dxa"/>
            <w:vAlign w:val="top"/>
          </w:tcPr>
          <w:p>
            <w:pPr>
              <w:spacing w:line="200" w:lineRule="exact"/>
              <w:rPr>
                <w:rFonts w:ascii="Arial"/>
                <w:sz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extDirection w:val="tbRlV"/>
            <w:vAlign w:val="top"/>
          </w:tcPr>
          <w:p>
            <w:pPr>
              <w:rPr>
                <w:rFonts w:ascii="Arial"/>
                <w:sz w:val="21"/>
              </w:rPr>
            </w:pPr>
          </w:p>
        </w:tc>
        <w:tc>
          <w:tcPr>
            <w:tcW w:w="819" w:type="dxa"/>
            <w:vMerge w:val="restart"/>
            <w:tcBorders>
              <w:bottom w:val="nil"/>
            </w:tcBorders>
            <w:vAlign w:val="top"/>
          </w:tcPr>
          <w:p>
            <w:pPr>
              <w:pStyle w:val="5"/>
              <w:spacing w:before="136" w:line="208" w:lineRule="auto"/>
              <w:ind w:left="139" w:right="76" w:hanging="79"/>
              <w:rPr>
                <w:sz w:val="17"/>
                <w:szCs w:val="17"/>
              </w:rPr>
            </w:pPr>
            <w:r>
              <w:rPr>
                <w:spacing w:val="-2"/>
                <w:sz w:val="17"/>
                <w:szCs w:val="17"/>
              </w:rPr>
              <w:t>可持续影</w:t>
            </w:r>
            <w:r>
              <w:rPr>
                <w:sz w:val="17"/>
                <w:szCs w:val="17"/>
              </w:rPr>
              <w:t xml:space="preserve"> </w:t>
            </w:r>
            <w:r>
              <w:rPr>
                <w:spacing w:val="2"/>
                <w:sz w:val="17"/>
                <w:szCs w:val="17"/>
              </w:rPr>
              <w:t>响指标</w:t>
            </w:r>
          </w:p>
        </w:tc>
        <w:tc>
          <w:tcPr>
            <w:tcW w:w="2757" w:type="dxa"/>
            <w:gridSpan w:val="2"/>
            <w:vAlign w:val="center"/>
          </w:tcPr>
          <w:p>
            <w:pPr>
              <w:spacing w:line="200" w:lineRule="exact"/>
              <w:jc w:val="center"/>
              <w:rPr>
                <w:rFonts w:ascii="Arial" w:hAnsi="Arial" w:eastAsia="Arial" w:cs="Arial"/>
                <w:snapToGrid w:val="0"/>
                <w:color w:val="000000"/>
                <w:kern w:val="0"/>
                <w:sz w:val="17"/>
                <w:szCs w:val="21"/>
                <w:lang w:val="en-US" w:eastAsia="en-US" w:bidi="ar-SA"/>
              </w:rPr>
            </w:pPr>
            <w:r>
              <w:rPr>
                <w:rFonts w:hint="eastAsia" w:ascii="Arial"/>
                <w:sz w:val="17"/>
              </w:rPr>
              <w:t>对健全社会救助体系的影响</w:t>
            </w:r>
          </w:p>
        </w:tc>
        <w:tc>
          <w:tcPr>
            <w:tcW w:w="1173" w:type="dxa"/>
            <w:vAlign w:val="center"/>
          </w:tcPr>
          <w:p>
            <w:pPr>
              <w:spacing w:line="200" w:lineRule="exact"/>
              <w:jc w:val="center"/>
              <w:rPr>
                <w:rFonts w:ascii="Arial" w:hAnsi="Arial" w:eastAsia="Arial" w:cs="Arial"/>
                <w:snapToGrid w:val="0"/>
                <w:color w:val="000000"/>
                <w:kern w:val="0"/>
                <w:sz w:val="17"/>
                <w:szCs w:val="21"/>
                <w:lang w:val="en-US" w:eastAsia="en-US" w:bidi="ar-SA"/>
              </w:rPr>
            </w:pPr>
            <w:r>
              <w:rPr>
                <w:rFonts w:hint="eastAsia" w:ascii="Arial"/>
                <w:sz w:val="17"/>
              </w:rPr>
              <w:t>成效明显</w:t>
            </w:r>
          </w:p>
        </w:tc>
        <w:tc>
          <w:tcPr>
            <w:tcW w:w="1712" w:type="dxa"/>
            <w:vAlign w:val="center"/>
          </w:tcPr>
          <w:p>
            <w:pPr>
              <w:spacing w:line="220" w:lineRule="exact"/>
              <w:jc w:val="center"/>
              <w:rPr>
                <w:rFonts w:hint="eastAsia" w:ascii="Arial"/>
                <w:sz w:val="18"/>
                <w:lang w:val="en-US" w:eastAsia="zh-CN"/>
              </w:rPr>
            </w:pPr>
            <w:r>
              <w:rPr>
                <w:rFonts w:hint="default"/>
                <w:sz w:val="18"/>
                <w:lang w:val="en-US" w:eastAsia="zh-CN"/>
              </w:rPr>
              <w:t xml:space="preserve">  </w:t>
            </w:r>
            <w:r>
              <w:rPr>
                <w:rFonts w:hint="eastAsia"/>
                <w:sz w:val="18"/>
                <w:lang w:val="en-US" w:eastAsia="zh-CN"/>
              </w:rPr>
              <w:t>我</w:t>
            </w:r>
            <w:r>
              <w:rPr>
                <w:rFonts w:hint="eastAsia" w:ascii="Arial"/>
                <w:sz w:val="18"/>
                <w:lang w:val="en-US" w:eastAsia="zh-CN"/>
              </w:rPr>
              <w:t>市多举措认真做好医疗救助工作，确保将医疗救助惠民政策落到实处，切实帮助困难居民解决在就医方面的困难和问题。通过对符合城乡医疗救助条件的困难群众进行救助，生活得到了明显改善，保障了困难群众的基本生活权益，对推动社会救助事业发展起到了积极作用。</w:t>
            </w:r>
          </w:p>
          <w:p>
            <w:pPr>
              <w:spacing w:line="200" w:lineRule="exact"/>
              <w:jc w:val="center"/>
              <w:rPr>
                <w:rFonts w:ascii="Arial" w:hAnsi="Arial" w:eastAsia="Arial" w:cs="Arial"/>
                <w:snapToGrid w:val="0"/>
                <w:color w:val="000000"/>
                <w:kern w:val="0"/>
                <w:sz w:val="17"/>
                <w:szCs w:val="21"/>
                <w:lang w:val="en-US" w:eastAsia="en-US" w:bidi="ar-SA"/>
              </w:rPr>
            </w:pPr>
          </w:p>
        </w:tc>
        <w:tc>
          <w:tcPr>
            <w:tcW w:w="650" w:type="dxa"/>
            <w:vAlign w:val="center"/>
          </w:tcPr>
          <w:p>
            <w:pPr>
              <w:spacing w:line="190" w:lineRule="exact"/>
              <w:jc w:val="center"/>
              <w:rPr>
                <w:rFonts w:hint="default" w:ascii="Arial"/>
                <w:sz w:val="16"/>
                <w:lang w:val="en-US"/>
              </w:rPr>
            </w:pPr>
            <w:r>
              <w:rPr>
                <w:rFonts w:hint="default"/>
                <w:sz w:val="16"/>
                <w:lang w:val="en-US"/>
              </w:rPr>
              <w:t>3</w:t>
            </w:r>
          </w:p>
        </w:tc>
        <w:tc>
          <w:tcPr>
            <w:tcW w:w="738"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3</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405" w:type="dxa"/>
            <w:vMerge w:val="continue"/>
            <w:tcBorders>
              <w:top w:val="nil"/>
              <w:bottom w:val="nil"/>
            </w:tcBorders>
            <w:textDirection w:val="tbRlV"/>
            <w:vAlign w:val="top"/>
          </w:tcPr>
          <w:p>
            <w:pPr>
              <w:rPr>
                <w:rFonts w:ascii="Arial"/>
                <w:sz w:val="21"/>
              </w:rPr>
            </w:pPr>
          </w:p>
        </w:tc>
        <w:tc>
          <w:tcPr>
            <w:tcW w:w="400" w:type="dxa"/>
            <w:vMerge w:val="continue"/>
            <w:tcBorders>
              <w:bottom w:val="nil"/>
            </w:tcBorders>
            <w:textDirection w:val="tbRlV"/>
            <w:vAlign w:val="top"/>
          </w:tcPr>
          <w:p>
            <w:pPr>
              <w:rPr>
                <w:rFonts w:ascii="Arial"/>
                <w:sz w:val="21"/>
              </w:rPr>
            </w:pPr>
          </w:p>
        </w:tc>
        <w:tc>
          <w:tcPr>
            <w:tcW w:w="819" w:type="dxa"/>
            <w:vMerge w:val="continue"/>
            <w:tcBorders>
              <w:top w:val="nil"/>
              <w:bottom w:val="nil"/>
            </w:tcBorders>
            <w:vAlign w:val="top"/>
          </w:tcPr>
          <w:p>
            <w:pPr>
              <w:rPr>
                <w:rFonts w:ascii="Arial"/>
                <w:sz w:val="21"/>
              </w:rPr>
            </w:pPr>
          </w:p>
        </w:tc>
        <w:tc>
          <w:tcPr>
            <w:tcW w:w="2757" w:type="dxa"/>
            <w:gridSpan w:val="2"/>
            <w:vAlign w:val="center"/>
          </w:tcPr>
          <w:p>
            <w:pPr>
              <w:spacing w:line="210" w:lineRule="exact"/>
              <w:jc w:val="center"/>
              <w:rPr>
                <w:rFonts w:ascii="Arial" w:hAnsi="Arial" w:eastAsia="Arial" w:cs="Arial"/>
                <w:snapToGrid w:val="0"/>
                <w:color w:val="000000"/>
                <w:kern w:val="0"/>
                <w:sz w:val="18"/>
                <w:szCs w:val="21"/>
                <w:lang w:val="en-US" w:eastAsia="en-US" w:bidi="ar-SA"/>
              </w:rPr>
            </w:pPr>
            <w:r>
              <w:rPr>
                <w:rFonts w:hint="eastAsia" w:ascii="Arial"/>
                <w:sz w:val="18"/>
              </w:rPr>
              <w:t>对健全医疗保障制度体系的作用</w:t>
            </w:r>
          </w:p>
        </w:tc>
        <w:tc>
          <w:tcPr>
            <w:tcW w:w="1173" w:type="dxa"/>
            <w:vAlign w:val="center"/>
          </w:tcPr>
          <w:p>
            <w:pPr>
              <w:spacing w:line="210" w:lineRule="exact"/>
              <w:jc w:val="center"/>
              <w:rPr>
                <w:rFonts w:ascii="Arial" w:hAnsi="Arial" w:eastAsia="Arial" w:cs="Arial"/>
                <w:snapToGrid w:val="0"/>
                <w:color w:val="000000"/>
                <w:kern w:val="0"/>
                <w:sz w:val="18"/>
                <w:szCs w:val="21"/>
                <w:lang w:val="en-US" w:eastAsia="en-US" w:bidi="ar-SA"/>
              </w:rPr>
            </w:pPr>
            <w:r>
              <w:rPr>
                <w:rFonts w:hint="eastAsia" w:ascii="Arial"/>
                <w:sz w:val="18"/>
              </w:rPr>
              <w:t>成效明显</w:t>
            </w:r>
          </w:p>
        </w:tc>
        <w:tc>
          <w:tcPr>
            <w:tcW w:w="1712" w:type="dxa"/>
            <w:vAlign w:val="center"/>
          </w:tcPr>
          <w:p>
            <w:pPr>
              <w:spacing w:line="210" w:lineRule="exact"/>
              <w:jc w:val="center"/>
              <w:rPr>
                <w:rFonts w:ascii="Arial" w:hAnsi="Arial" w:eastAsia="Arial" w:cs="Arial"/>
                <w:snapToGrid w:val="0"/>
                <w:color w:val="000000"/>
                <w:kern w:val="0"/>
                <w:sz w:val="18"/>
                <w:szCs w:val="21"/>
                <w:lang w:val="en-US" w:eastAsia="en-US" w:bidi="ar-SA"/>
              </w:rPr>
            </w:pPr>
            <w:r>
              <w:rPr>
                <w:rFonts w:hint="default"/>
                <w:sz w:val="18"/>
                <w:lang w:val="en-US" w:eastAsia="zh-CN"/>
              </w:rPr>
              <w:t xml:space="preserve">  </w:t>
            </w:r>
            <w:r>
              <w:rPr>
                <w:rFonts w:hint="eastAsia" w:ascii="Arial"/>
                <w:sz w:val="18"/>
                <w:lang w:val="en-US" w:eastAsia="zh-CN"/>
              </w:rPr>
              <w:t>我市医疗救助工作始终坚持政策先行，按程序规范操作，严格审核审批，扎实推行健全社会救助体系，做好三重制度综合保险，提高管理服务水平，有效提高综合医疗保障水平，同时建立长效机制。</w:t>
            </w:r>
          </w:p>
        </w:tc>
        <w:tc>
          <w:tcPr>
            <w:tcW w:w="650" w:type="dxa"/>
            <w:vAlign w:val="center"/>
          </w:tcPr>
          <w:p>
            <w:pPr>
              <w:spacing w:line="190" w:lineRule="exact"/>
              <w:jc w:val="center"/>
              <w:rPr>
                <w:rFonts w:hint="default" w:ascii="Arial"/>
                <w:sz w:val="16"/>
                <w:lang w:val="en-US"/>
              </w:rPr>
            </w:pPr>
            <w:r>
              <w:rPr>
                <w:rFonts w:hint="default"/>
                <w:sz w:val="16"/>
                <w:lang w:val="en-US"/>
              </w:rPr>
              <w:t>3</w:t>
            </w:r>
          </w:p>
        </w:tc>
        <w:tc>
          <w:tcPr>
            <w:tcW w:w="738"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3</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405" w:type="dxa"/>
            <w:vMerge w:val="continue"/>
            <w:tcBorders>
              <w:top w:val="nil"/>
              <w:bottom w:val="nil"/>
            </w:tcBorders>
            <w:textDirection w:val="tbRlV"/>
            <w:vAlign w:val="top"/>
          </w:tcPr>
          <w:p>
            <w:pPr>
              <w:rPr>
                <w:rFonts w:ascii="Arial"/>
                <w:sz w:val="21"/>
              </w:rPr>
            </w:pPr>
          </w:p>
        </w:tc>
        <w:tc>
          <w:tcPr>
            <w:tcW w:w="400" w:type="dxa"/>
            <w:tcBorders>
              <w:bottom w:val="nil"/>
            </w:tcBorders>
            <w:vAlign w:val="top"/>
          </w:tcPr>
          <w:p>
            <w:pPr>
              <w:pStyle w:val="5"/>
              <w:spacing w:before="125" w:line="226" w:lineRule="auto"/>
              <w:ind w:left="19" w:right="36"/>
              <w:jc w:val="both"/>
              <w:rPr>
                <w:sz w:val="17"/>
                <w:szCs w:val="17"/>
              </w:rPr>
            </w:pPr>
            <w:r>
              <w:rPr>
                <w:spacing w:val="-4"/>
                <w:sz w:val="17"/>
                <w:szCs w:val="17"/>
              </w:rPr>
              <w:t>满意</w:t>
            </w:r>
            <w:r>
              <w:rPr>
                <w:sz w:val="17"/>
                <w:szCs w:val="17"/>
              </w:rPr>
              <w:t xml:space="preserve"> </w:t>
            </w:r>
            <w:r>
              <w:rPr>
                <w:spacing w:val="-3"/>
                <w:sz w:val="17"/>
                <w:szCs w:val="17"/>
              </w:rPr>
              <w:t>度指</w:t>
            </w:r>
            <w:r>
              <w:rPr>
                <w:sz w:val="17"/>
                <w:szCs w:val="17"/>
              </w:rPr>
              <w:t xml:space="preserve"> </w:t>
            </w:r>
            <w:r>
              <w:rPr>
                <w:spacing w:val="26"/>
                <w:w w:val="127"/>
                <w:sz w:val="17"/>
                <w:szCs w:val="17"/>
              </w:rPr>
              <w:t>标</w:t>
            </w:r>
          </w:p>
        </w:tc>
        <w:tc>
          <w:tcPr>
            <w:tcW w:w="819" w:type="dxa"/>
            <w:tcBorders>
              <w:bottom w:val="nil"/>
            </w:tcBorders>
            <w:vAlign w:val="top"/>
          </w:tcPr>
          <w:p>
            <w:pPr>
              <w:pStyle w:val="5"/>
              <w:spacing w:before="36" w:line="217" w:lineRule="auto"/>
              <w:ind w:left="60"/>
              <w:rPr>
                <w:sz w:val="17"/>
                <w:szCs w:val="17"/>
              </w:rPr>
            </w:pPr>
            <w:r>
              <w:rPr>
                <w:spacing w:val="-2"/>
                <w:sz w:val="17"/>
                <w:szCs w:val="17"/>
              </w:rPr>
              <w:t>服务对象</w:t>
            </w:r>
          </w:p>
          <w:p>
            <w:pPr>
              <w:pStyle w:val="5"/>
              <w:spacing w:line="207" w:lineRule="auto"/>
              <w:ind w:left="60"/>
              <w:rPr>
                <w:sz w:val="17"/>
                <w:szCs w:val="17"/>
              </w:rPr>
            </w:pPr>
            <w:r>
              <w:rPr>
                <w:spacing w:val="-2"/>
                <w:sz w:val="17"/>
                <w:szCs w:val="17"/>
              </w:rPr>
              <w:t>满意度指</w:t>
            </w:r>
          </w:p>
          <w:p>
            <w:pPr>
              <w:pStyle w:val="5"/>
              <w:spacing w:line="198" w:lineRule="auto"/>
              <w:ind w:left="320"/>
              <w:rPr>
                <w:sz w:val="17"/>
                <w:szCs w:val="17"/>
              </w:rPr>
            </w:pPr>
            <w:r>
              <w:rPr>
                <w:sz w:val="17"/>
                <w:szCs w:val="17"/>
              </w:rPr>
              <w:t>标</w:t>
            </w:r>
          </w:p>
        </w:tc>
        <w:tc>
          <w:tcPr>
            <w:tcW w:w="2757" w:type="dxa"/>
            <w:gridSpan w:val="2"/>
            <w:vAlign w:val="center"/>
          </w:tcPr>
          <w:p>
            <w:pPr>
              <w:spacing w:line="220" w:lineRule="exact"/>
              <w:jc w:val="center"/>
              <w:rPr>
                <w:rFonts w:ascii="Arial" w:hAnsi="Arial" w:eastAsia="Arial" w:cs="Arial"/>
                <w:snapToGrid w:val="0"/>
                <w:color w:val="000000"/>
                <w:kern w:val="0"/>
                <w:sz w:val="19"/>
                <w:szCs w:val="21"/>
                <w:lang w:val="en-US" w:eastAsia="en-US" w:bidi="ar-SA"/>
              </w:rPr>
            </w:pPr>
            <w:r>
              <w:rPr>
                <w:rFonts w:hint="eastAsia" w:ascii="Arial"/>
                <w:sz w:val="19"/>
              </w:rPr>
              <w:t>救助群体对政策知晓率和救助工作的满意度</w:t>
            </w:r>
          </w:p>
        </w:tc>
        <w:tc>
          <w:tcPr>
            <w:tcW w:w="1173" w:type="dxa"/>
            <w:vAlign w:val="center"/>
          </w:tcPr>
          <w:p>
            <w:pPr>
              <w:spacing w:line="220" w:lineRule="exact"/>
              <w:jc w:val="center"/>
              <w:rPr>
                <w:rFonts w:hint="eastAsia" w:ascii="Arial" w:hAnsi="Arial" w:eastAsia="Arial" w:cs="Arial"/>
                <w:snapToGrid w:val="0"/>
                <w:color w:val="000000"/>
                <w:kern w:val="0"/>
                <w:sz w:val="18"/>
                <w:szCs w:val="21"/>
                <w:lang w:val="en-US" w:eastAsia="zh-CN" w:bidi="ar-SA"/>
              </w:rPr>
            </w:pPr>
            <w:r>
              <w:rPr>
                <w:rFonts w:hint="eastAsia" w:ascii="Arial"/>
                <w:sz w:val="19"/>
              </w:rPr>
              <w:t>≧85%</w:t>
            </w:r>
          </w:p>
        </w:tc>
        <w:tc>
          <w:tcPr>
            <w:tcW w:w="1712" w:type="dxa"/>
            <w:vAlign w:val="center"/>
          </w:tcPr>
          <w:p>
            <w:pPr>
              <w:spacing w:line="220" w:lineRule="exact"/>
              <w:jc w:val="center"/>
              <w:rPr>
                <w:rFonts w:hint="eastAsia" w:ascii="Arial" w:hAnsi="Arial" w:eastAsia="Arial" w:cs="Arial"/>
                <w:snapToGrid w:val="0"/>
                <w:color w:val="000000"/>
                <w:kern w:val="0"/>
                <w:sz w:val="18"/>
                <w:szCs w:val="21"/>
                <w:lang w:val="en-US" w:eastAsia="zh-CN" w:bidi="ar-SA"/>
              </w:rPr>
            </w:pPr>
            <w:r>
              <w:rPr>
                <w:rFonts w:hint="eastAsia" w:ascii="Arial"/>
                <w:sz w:val="19"/>
              </w:rPr>
              <w:t>≧85%</w:t>
            </w:r>
          </w:p>
        </w:tc>
        <w:tc>
          <w:tcPr>
            <w:tcW w:w="650" w:type="dxa"/>
            <w:vAlign w:val="center"/>
          </w:tcPr>
          <w:p>
            <w:pPr>
              <w:spacing w:line="190" w:lineRule="exact"/>
              <w:jc w:val="center"/>
              <w:rPr>
                <w:rFonts w:hint="default" w:ascii="Arial"/>
                <w:sz w:val="16"/>
                <w:lang w:val="en-US"/>
              </w:rPr>
            </w:pPr>
            <w:r>
              <w:rPr>
                <w:rFonts w:hint="default"/>
                <w:sz w:val="16"/>
                <w:lang w:val="en-US"/>
              </w:rPr>
              <w:t>5</w:t>
            </w:r>
          </w:p>
        </w:tc>
        <w:tc>
          <w:tcPr>
            <w:tcW w:w="738" w:type="dxa"/>
            <w:vAlign w:val="center"/>
          </w:tcPr>
          <w:p>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5</w:t>
            </w:r>
          </w:p>
        </w:tc>
        <w:tc>
          <w:tcPr>
            <w:tcW w:w="955" w:type="dxa"/>
            <w:vAlign w:val="top"/>
          </w:tcPr>
          <w:p>
            <w:pPr>
              <w:spacing w:line="190" w:lineRule="exact"/>
              <w:rPr>
                <w:rFonts w:ascii="Arial"/>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66" w:type="dxa"/>
            <w:gridSpan w:val="7"/>
            <w:vAlign w:val="top"/>
          </w:tcPr>
          <w:p>
            <w:pPr>
              <w:pStyle w:val="5"/>
              <w:spacing w:before="47" w:line="209" w:lineRule="auto"/>
              <w:ind w:left="3004"/>
              <w:rPr>
                <w:sz w:val="17"/>
                <w:szCs w:val="17"/>
              </w:rPr>
            </w:pPr>
            <w:r>
              <w:rPr>
                <w:spacing w:val="-3"/>
                <w:sz w:val="17"/>
                <w:szCs w:val="17"/>
              </w:rPr>
              <w:t>总分</w:t>
            </w:r>
          </w:p>
        </w:tc>
        <w:tc>
          <w:tcPr>
            <w:tcW w:w="650" w:type="dxa"/>
            <w:vAlign w:val="center"/>
          </w:tcPr>
          <w:p>
            <w:pPr>
              <w:pStyle w:val="5"/>
              <w:spacing w:before="89" w:line="163" w:lineRule="auto"/>
              <w:ind w:left="155"/>
              <w:jc w:val="center"/>
              <w:rPr>
                <w:sz w:val="17"/>
                <w:szCs w:val="17"/>
              </w:rPr>
            </w:pPr>
            <w:r>
              <w:rPr>
                <w:spacing w:val="-5"/>
                <w:sz w:val="17"/>
                <w:szCs w:val="17"/>
              </w:rPr>
              <w:t>100</w:t>
            </w:r>
          </w:p>
        </w:tc>
        <w:tc>
          <w:tcPr>
            <w:tcW w:w="738" w:type="dxa"/>
            <w:vAlign w:val="center"/>
          </w:tcPr>
          <w:p>
            <w:pPr>
              <w:spacing w:line="240" w:lineRule="exact"/>
              <w:jc w:val="center"/>
              <w:rPr>
                <w:rFonts w:hint="default" w:ascii="Arial"/>
                <w:sz w:val="20"/>
                <w:lang w:val="en-US"/>
              </w:rPr>
            </w:pPr>
            <w:r>
              <w:rPr>
                <w:rFonts w:hint="default"/>
                <w:sz w:val="20"/>
                <w:lang w:val="en-US"/>
              </w:rPr>
              <w:t>100</w:t>
            </w:r>
          </w:p>
        </w:tc>
        <w:tc>
          <w:tcPr>
            <w:tcW w:w="955" w:type="dxa"/>
            <w:vAlign w:val="top"/>
          </w:tcPr>
          <w:p>
            <w:pPr>
              <w:spacing w:line="240" w:lineRule="exact"/>
              <w:rPr>
                <w:rFonts w:ascii="Arial"/>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24" w:type="dxa"/>
            <w:gridSpan w:val="3"/>
            <w:vAlign w:val="center"/>
          </w:tcPr>
          <w:p>
            <w:pPr>
              <w:pStyle w:val="5"/>
              <w:spacing w:before="106" w:line="219" w:lineRule="auto"/>
              <w:ind w:left="634"/>
              <w:jc w:val="center"/>
              <w:rPr>
                <w:sz w:val="17"/>
                <w:szCs w:val="17"/>
              </w:rPr>
            </w:pPr>
            <w:r>
              <w:rPr>
                <w:spacing w:val="9"/>
                <w:sz w:val="17"/>
                <w:szCs w:val="17"/>
              </w:rPr>
              <w:t>说明</w:t>
            </w:r>
          </w:p>
        </w:tc>
        <w:tc>
          <w:tcPr>
            <w:tcW w:w="7985" w:type="dxa"/>
            <w:gridSpan w:val="7"/>
            <w:vAlign w:val="center"/>
          </w:tcPr>
          <w:p>
            <w:pPr>
              <w:pStyle w:val="5"/>
              <w:spacing w:before="15" w:line="189" w:lineRule="auto"/>
              <w:ind w:left="10"/>
              <w:jc w:val="center"/>
              <w:rPr>
                <w:rFonts w:hint="eastAsia" w:eastAsia="宋体"/>
                <w:sz w:val="17"/>
                <w:szCs w:val="17"/>
                <w:lang w:eastAsia="zh-CN"/>
              </w:rPr>
            </w:pPr>
            <w:r>
              <w:rPr>
                <w:rFonts w:hint="eastAsia"/>
                <w:spacing w:val="-7"/>
                <w:sz w:val="17"/>
                <w:szCs w:val="17"/>
                <w:lang w:val="en-US" w:eastAsia="zh-CN"/>
              </w:rPr>
              <w:t>无</w:t>
            </w:r>
          </w:p>
        </w:tc>
      </w:tr>
    </w:tbl>
    <w:p>
      <w:pPr>
        <w:spacing w:before="41" w:line="219" w:lineRule="auto"/>
        <w:ind w:left="24"/>
        <w:rPr>
          <w:rFonts w:ascii="宋体" w:hAnsi="宋体" w:eastAsia="宋体" w:cs="宋体"/>
          <w:sz w:val="16"/>
          <w:szCs w:val="16"/>
        </w:rPr>
      </w:pPr>
      <w:r>
        <w:rPr>
          <w:rFonts w:ascii="宋体" w:hAnsi="宋体" w:eastAsia="宋体" w:cs="宋体"/>
          <w:spacing w:val="-1"/>
          <w:sz w:val="16"/>
          <w:szCs w:val="16"/>
        </w:rPr>
        <w:t>注：1.该表由中央主管部门填写。</w:t>
      </w:r>
    </w:p>
    <w:p>
      <w:pPr>
        <w:spacing w:before="89" w:line="219" w:lineRule="auto"/>
        <w:ind w:left="334"/>
        <w:rPr>
          <w:rFonts w:ascii="宋体" w:hAnsi="宋体" w:eastAsia="宋体" w:cs="宋体"/>
          <w:sz w:val="16"/>
          <w:szCs w:val="16"/>
        </w:rPr>
      </w:pPr>
      <w:r>
        <w:rPr>
          <w:rFonts w:ascii="宋体" w:hAnsi="宋体" w:eastAsia="宋体" w:cs="宋体"/>
          <w:spacing w:val="-1"/>
          <w:sz w:val="16"/>
          <w:szCs w:val="16"/>
        </w:rPr>
        <w:t>2.其他资金包括与中央财政资金、地方财政资金共同投入的自有资金、社会资金，以及以前年度的结转结余资金等。</w:t>
      </w:r>
    </w:p>
    <w:p>
      <w:pPr>
        <w:spacing w:before="40" w:line="219" w:lineRule="auto"/>
        <w:ind w:left="334"/>
        <w:rPr>
          <w:rFonts w:ascii="宋体" w:hAnsi="宋体" w:eastAsia="宋体" w:cs="宋体"/>
          <w:sz w:val="16"/>
          <w:szCs w:val="16"/>
        </w:rPr>
      </w:pPr>
      <w:r>
        <w:rPr>
          <w:rFonts w:ascii="宋体" w:hAnsi="宋体" w:eastAsia="宋体" w:cs="宋体"/>
          <w:sz w:val="16"/>
          <w:szCs w:val="16"/>
        </w:rPr>
        <w:t>3.资金管理情况需汇总反映各级政府的资金管理情况，对违反预算管理</w:t>
      </w:r>
      <w:r>
        <w:rPr>
          <w:rFonts w:ascii="宋体" w:hAnsi="宋体" w:eastAsia="宋体" w:cs="宋体"/>
          <w:spacing w:val="-1"/>
          <w:sz w:val="16"/>
          <w:szCs w:val="16"/>
        </w:rPr>
        <w:t>规定行为的，原则上每发现1例扣0.5分，扣完为止。</w:t>
      </w:r>
    </w:p>
    <w:p>
      <w:pPr>
        <w:spacing w:before="30" w:line="220" w:lineRule="auto"/>
        <w:ind w:left="34" w:right="129" w:firstLine="300"/>
        <w:rPr>
          <w:rFonts w:ascii="宋体" w:hAnsi="宋体" w:eastAsia="宋体" w:cs="宋体"/>
          <w:sz w:val="16"/>
          <w:szCs w:val="16"/>
        </w:rPr>
      </w:pPr>
      <w:r>
        <w:rPr>
          <w:rFonts w:ascii="宋体" w:hAnsi="宋体" w:eastAsia="宋体" w:cs="宋体"/>
          <w:spacing w:val="2"/>
          <w:sz w:val="16"/>
          <w:szCs w:val="16"/>
        </w:rPr>
        <w:t>4.专项转移支付无需填写“支出责任履行情况”项，相关分值(5分)分摊到“分配科学性”、“下达及时性”、“拨付合规性”、</w:t>
      </w:r>
      <w:r>
        <w:rPr>
          <w:rFonts w:ascii="宋体" w:hAnsi="宋体" w:eastAsia="宋体" w:cs="宋体"/>
          <w:spacing w:val="11"/>
          <w:sz w:val="16"/>
          <w:szCs w:val="16"/>
        </w:rPr>
        <w:t xml:space="preserve"> </w:t>
      </w:r>
      <w:r>
        <w:rPr>
          <w:rFonts w:ascii="宋体" w:hAnsi="宋体" w:eastAsia="宋体" w:cs="宋体"/>
          <w:spacing w:val="-1"/>
          <w:sz w:val="16"/>
          <w:szCs w:val="16"/>
        </w:rPr>
        <w:t>“使用规范性”和“政策目标实现情况”等5项上。</w:t>
      </w:r>
    </w:p>
    <w:p>
      <w:pPr>
        <w:spacing w:before="21" w:line="228" w:lineRule="auto"/>
        <w:ind w:left="44" w:firstLine="290"/>
        <w:rPr>
          <w:rFonts w:ascii="宋体" w:hAnsi="宋体" w:eastAsia="宋体" w:cs="宋体"/>
          <w:sz w:val="16"/>
          <w:szCs w:val="16"/>
        </w:rPr>
      </w:pPr>
      <w:r>
        <w:rPr>
          <w:rFonts w:ascii="宋体" w:hAnsi="宋体" w:eastAsia="宋体" w:cs="宋体"/>
          <w:sz w:val="16"/>
          <w:szCs w:val="16"/>
        </w:rPr>
        <w:t>5.中央主管部门商财政部主管司局确定各项绩效指标分值权重，并根据全年实际完成情况填写得分，各项指标得分加总形成该</w:t>
      </w:r>
      <w:r>
        <w:rPr>
          <w:rFonts w:ascii="宋体" w:hAnsi="宋体" w:eastAsia="宋体" w:cs="宋体"/>
          <w:spacing w:val="-1"/>
          <w:sz w:val="16"/>
          <w:szCs w:val="16"/>
        </w:rPr>
        <w:t>转移支</w:t>
      </w:r>
      <w:r>
        <w:rPr>
          <w:rFonts w:ascii="宋体" w:hAnsi="宋体" w:eastAsia="宋体" w:cs="宋体"/>
          <w:sz w:val="16"/>
          <w:szCs w:val="16"/>
        </w:rPr>
        <w:t xml:space="preserve"> </w:t>
      </w:r>
      <w:r>
        <w:rPr>
          <w:rFonts w:ascii="宋体" w:hAnsi="宋体" w:eastAsia="宋体" w:cs="宋体"/>
          <w:spacing w:val="-1"/>
          <w:sz w:val="16"/>
          <w:szCs w:val="16"/>
        </w:rPr>
        <w:t>付绩效自评总分。原则上，</w:t>
      </w:r>
      <w:r>
        <w:rPr>
          <w:rFonts w:ascii="宋体" w:hAnsi="宋体" w:eastAsia="宋体" w:cs="宋体"/>
          <w:spacing w:val="52"/>
          <w:sz w:val="16"/>
          <w:szCs w:val="16"/>
        </w:rPr>
        <w:t xml:space="preserve"> </w:t>
      </w:r>
      <w:r>
        <w:rPr>
          <w:rFonts w:ascii="宋体" w:hAnsi="宋体" w:eastAsia="宋体" w:cs="宋体"/>
          <w:spacing w:val="-1"/>
          <w:sz w:val="16"/>
          <w:szCs w:val="16"/>
        </w:rPr>
        <w:t>一级指标分值设置为：资金投入情况10分、资金管理情况40分、产出指标30分、效益指标15分、满意度指标5</w:t>
      </w:r>
      <w:r>
        <w:rPr>
          <w:rFonts w:ascii="宋体" w:hAnsi="宋体" w:eastAsia="宋体" w:cs="宋体"/>
          <w:sz w:val="16"/>
          <w:szCs w:val="16"/>
        </w:rPr>
        <w:t xml:space="preserve"> </w:t>
      </w:r>
      <w:r>
        <w:rPr>
          <w:rFonts w:ascii="宋体" w:hAnsi="宋体" w:eastAsia="宋体" w:cs="宋体"/>
          <w:spacing w:val="3"/>
          <w:sz w:val="16"/>
          <w:szCs w:val="16"/>
        </w:rPr>
        <w:t xml:space="preserve">分。如有特殊情况，除资金投入情况、资金管理情况外，其他指标分值权重可适当调整(总分应为100分)。巡视、审计和财会监督中发 </w:t>
      </w:r>
      <w:r>
        <w:rPr>
          <w:rFonts w:ascii="宋体" w:hAnsi="宋体" w:eastAsia="宋体" w:cs="宋体"/>
          <w:spacing w:val="-3"/>
          <w:sz w:val="16"/>
          <w:szCs w:val="16"/>
        </w:rPr>
        <w:t>现问题的应酌情扣分。</w:t>
      </w:r>
    </w:p>
    <w:p>
      <w:pPr>
        <w:spacing w:line="228" w:lineRule="auto"/>
        <w:rPr>
          <w:rFonts w:ascii="宋体" w:hAnsi="宋体" w:eastAsia="宋体" w:cs="宋体"/>
          <w:sz w:val="16"/>
          <w:szCs w:val="16"/>
        </w:rPr>
        <w:sectPr>
          <w:pgSz w:w="11900" w:h="16820"/>
          <w:pgMar w:top="1045" w:right="1160" w:bottom="400" w:left="1105" w:header="0" w:footer="0" w:gutter="0"/>
          <w:cols w:space="720" w:num="1"/>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63C52"/>
    <w:rsid w:val="1823164A"/>
    <w:rsid w:val="62E63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Table Text"/>
    <w:basedOn w:val="1"/>
    <w:semiHidden/>
    <w:qFormat/>
    <w:uiPriority w:val="0"/>
    <w:rPr>
      <w:rFonts w:ascii="宋体" w:hAnsi="宋体" w:eastAsia="宋体" w:cs="宋体"/>
      <w:sz w:val="22"/>
      <w:szCs w:val="22"/>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2024-05-14T03:22:00Z</dcterms:created>
  <dc:creator>Lo</dc:creator>
  <cp:lastModifiedBy>Lo</cp:lastModifiedBy>
  <dcterms:modified xsi:type="dcterms:W3CDTF">2024-05-15T03:49:47Z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BA3AE63B8F674773BCCC9860FF10ED52</vt:lpwstr>
  </property>
</Properties>
</file>